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F8" w:rsidRPr="006E388F" w:rsidRDefault="00155AF8" w:rsidP="006E388F">
      <w:pPr>
        <w:spacing w:line="240" w:lineRule="auto"/>
        <w:jc w:val="center"/>
        <w:rPr>
          <w:rFonts w:asciiTheme="majorBidi" w:hAnsiTheme="majorBidi" w:cstheme="majorBidi"/>
          <w:b/>
          <w:bCs/>
          <w:sz w:val="24"/>
          <w:szCs w:val="24"/>
        </w:rPr>
      </w:pPr>
    </w:p>
    <w:p w:rsidR="00B541D2" w:rsidRDefault="00D55D62" w:rsidP="001506E9">
      <w:pPr>
        <w:spacing w:line="240" w:lineRule="auto"/>
        <w:jc w:val="center"/>
        <w:rPr>
          <w:rFonts w:asciiTheme="majorBidi" w:hAnsiTheme="majorBidi" w:cstheme="majorBidi"/>
          <w:b/>
          <w:bCs/>
          <w:sz w:val="24"/>
          <w:szCs w:val="24"/>
        </w:rPr>
      </w:pPr>
      <w:r w:rsidRPr="006E388F">
        <w:rPr>
          <w:rFonts w:asciiTheme="majorBidi" w:hAnsiTheme="majorBidi" w:cstheme="majorBidi"/>
          <w:b/>
          <w:bCs/>
          <w:sz w:val="24"/>
          <w:szCs w:val="24"/>
        </w:rPr>
        <w:t>CORPORATE AND SHARI’AH</w:t>
      </w:r>
      <w:r w:rsidR="00155AF8" w:rsidRPr="006E388F">
        <w:rPr>
          <w:rFonts w:asciiTheme="majorBidi" w:hAnsiTheme="majorBidi" w:cstheme="majorBidi"/>
          <w:b/>
          <w:bCs/>
          <w:sz w:val="24"/>
          <w:szCs w:val="24"/>
        </w:rPr>
        <w:t xml:space="preserve"> GOVERNANCE </w:t>
      </w:r>
      <w:r w:rsidR="005A60E6">
        <w:rPr>
          <w:rFonts w:asciiTheme="majorBidi" w:hAnsiTheme="majorBidi" w:cstheme="majorBidi"/>
          <w:b/>
          <w:bCs/>
          <w:sz w:val="24"/>
          <w:szCs w:val="24"/>
        </w:rPr>
        <w:t xml:space="preserve">AS A </w:t>
      </w:r>
      <w:r w:rsidR="004A03D6">
        <w:rPr>
          <w:rFonts w:asciiTheme="majorBidi" w:hAnsiTheme="majorBidi" w:cstheme="majorBidi"/>
          <w:b/>
          <w:bCs/>
          <w:sz w:val="24"/>
          <w:szCs w:val="24"/>
        </w:rPr>
        <w:t>COLLA</w:t>
      </w:r>
      <w:r w:rsidR="005A60E6">
        <w:rPr>
          <w:rFonts w:asciiTheme="majorBidi" w:hAnsiTheme="majorBidi" w:cstheme="majorBidi"/>
          <w:b/>
          <w:bCs/>
          <w:sz w:val="24"/>
          <w:szCs w:val="24"/>
        </w:rPr>
        <w:t xml:space="preserve">BORATIVE </w:t>
      </w:r>
      <w:r w:rsidR="001506E9">
        <w:rPr>
          <w:rFonts w:asciiTheme="majorBidi" w:hAnsiTheme="majorBidi" w:cstheme="majorBidi"/>
          <w:b/>
          <w:bCs/>
          <w:sz w:val="24"/>
          <w:szCs w:val="24"/>
        </w:rPr>
        <w:t>GOVERNANCE MECHANISM IN INFLUENCING PERFORMANCE</w:t>
      </w:r>
    </w:p>
    <w:p w:rsidR="001506E9" w:rsidRDefault="001506E9" w:rsidP="001506E9">
      <w:pPr>
        <w:spacing w:line="240" w:lineRule="auto"/>
        <w:jc w:val="center"/>
        <w:rPr>
          <w:rFonts w:asciiTheme="majorBidi" w:hAnsiTheme="majorBidi" w:cstheme="majorBidi"/>
          <w:b/>
          <w:bCs/>
          <w:sz w:val="24"/>
          <w:szCs w:val="24"/>
        </w:rPr>
      </w:pPr>
    </w:p>
    <w:p w:rsidR="001506E9" w:rsidRDefault="001506E9" w:rsidP="001506E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Memiyanty Abdul Rahim</w:t>
      </w:r>
    </w:p>
    <w:p w:rsidR="001506E9" w:rsidRDefault="001506E9" w:rsidP="001506E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Universiti Teknologi MARA</w:t>
      </w:r>
    </w:p>
    <w:p w:rsidR="001506E9" w:rsidRDefault="001506E9" w:rsidP="001506E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Corresponding Author: </w:t>
      </w:r>
      <w:hyperlink r:id="rId8" w:history="1">
        <w:r w:rsidRPr="00B362D1">
          <w:rPr>
            <w:rStyle w:val="Hyperlink"/>
            <w:rFonts w:asciiTheme="majorBidi" w:hAnsiTheme="majorBidi" w:cstheme="majorBidi"/>
            <w:b/>
            <w:bCs/>
            <w:sz w:val="24"/>
            <w:szCs w:val="24"/>
          </w:rPr>
          <w:t>memiyanty@uitm.edu.my</w:t>
        </w:r>
      </w:hyperlink>
    </w:p>
    <w:p w:rsidR="001506E9" w:rsidRDefault="001506E9" w:rsidP="001506E9">
      <w:pPr>
        <w:spacing w:line="240" w:lineRule="auto"/>
        <w:jc w:val="center"/>
        <w:rPr>
          <w:rFonts w:asciiTheme="majorBidi" w:hAnsiTheme="majorBidi" w:cstheme="majorBidi"/>
          <w:b/>
          <w:bCs/>
          <w:sz w:val="24"/>
          <w:szCs w:val="24"/>
        </w:rPr>
      </w:pPr>
    </w:p>
    <w:p w:rsidR="001506E9" w:rsidRDefault="001506E9" w:rsidP="001506E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Abdul Rahim Abdul Rahman</w:t>
      </w:r>
    </w:p>
    <w:p w:rsidR="001506E9" w:rsidRPr="006E388F" w:rsidRDefault="001506E9" w:rsidP="001506E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Universiti Sains Islam Malaysia</w:t>
      </w:r>
    </w:p>
    <w:p w:rsidR="001506E9" w:rsidRDefault="001506E9" w:rsidP="00D373C2">
      <w:pPr>
        <w:spacing w:line="240" w:lineRule="auto"/>
        <w:jc w:val="both"/>
        <w:rPr>
          <w:rFonts w:asciiTheme="majorBidi" w:hAnsiTheme="majorBidi" w:cstheme="majorBidi"/>
          <w:b/>
          <w:bCs/>
          <w:sz w:val="24"/>
          <w:szCs w:val="24"/>
        </w:rPr>
      </w:pPr>
    </w:p>
    <w:p w:rsidR="00D373C2" w:rsidRPr="00936A4F" w:rsidRDefault="00D373C2" w:rsidP="00D373C2">
      <w:pPr>
        <w:spacing w:line="240" w:lineRule="auto"/>
        <w:jc w:val="both"/>
        <w:rPr>
          <w:rFonts w:asciiTheme="majorBidi" w:hAnsiTheme="majorBidi" w:cstheme="majorBidi"/>
          <w:b/>
          <w:bCs/>
          <w:sz w:val="24"/>
          <w:szCs w:val="24"/>
        </w:rPr>
      </w:pPr>
      <w:r w:rsidRPr="00936A4F">
        <w:rPr>
          <w:rFonts w:asciiTheme="majorBidi" w:hAnsiTheme="majorBidi" w:cstheme="majorBidi"/>
          <w:b/>
          <w:bCs/>
          <w:sz w:val="24"/>
          <w:szCs w:val="24"/>
        </w:rPr>
        <w:t>Abstract</w:t>
      </w:r>
    </w:p>
    <w:p w:rsidR="009B588E" w:rsidRPr="006E388F" w:rsidRDefault="00EF0510" w:rsidP="00894C69">
      <w:pPr>
        <w:spacing w:line="240" w:lineRule="auto"/>
        <w:jc w:val="both"/>
        <w:rPr>
          <w:rFonts w:asciiTheme="majorBidi" w:hAnsiTheme="majorBidi" w:cstheme="majorBidi"/>
          <w:sz w:val="24"/>
          <w:szCs w:val="24"/>
        </w:rPr>
      </w:pPr>
      <w:r>
        <w:rPr>
          <w:rFonts w:asciiTheme="majorBidi" w:hAnsiTheme="majorBidi" w:cstheme="majorBidi"/>
          <w:sz w:val="24"/>
          <w:szCs w:val="24"/>
        </w:rPr>
        <w:t>In Malaysia, t</w:t>
      </w:r>
      <w:r w:rsidR="001506E9" w:rsidRPr="00D373C2">
        <w:rPr>
          <w:rFonts w:asciiTheme="majorBidi" w:hAnsiTheme="majorBidi" w:cstheme="majorBidi"/>
          <w:sz w:val="24"/>
          <w:szCs w:val="24"/>
        </w:rPr>
        <w:t>he Shari’ah Govern</w:t>
      </w:r>
      <w:r>
        <w:rPr>
          <w:rFonts w:asciiTheme="majorBidi" w:hAnsiTheme="majorBidi" w:cstheme="majorBidi"/>
          <w:sz w:val="24"/>
          <w:szCs w:val="24"/>
        </w:rPr>
        <w:t xml:space="preserve">ance Framework </w:t>
      </w:r>
      <w:r w:rsidR="007772A3">
        <w:rPr>
          <w:rFonts w:asciiTheme="majorBidi" w:hAnsiTheme="majorBidi" w:cstheme="majorBidi"/>
          <w:sz w:val="24"/>
          <w:szCs w:val="24"/>
        </w:rPr>
        <w:t xml:space="preserve">(SGF) </w:t>
      </w:r>
      <w:r>
        <w:rPr>
          <w:rFonts w:asciiTheme="majorBidi" w:hAnsiTheme="majorBidi" w:cstheme="majorBidi"/>
          <w:sz w:val="24"/>
          <w:szCs w:val="24"/>
        </w:rPr>
        <w:t xml:space="preserve">was first issued </w:t>
      </w:r>
      <w:r w:rsidR="001506E9" w:rsidRPr="00D373C2">
        <w:rPr>
          <w:rFonts w:asciiTheme="majorBidi" w:hAnsiTheme="majorBidi" w:cstheme="majorBidi"/>
          <w:sz w:val="24"/>
          <w:szCs w:val="24"/>
        </w:rPr>
        <w:t>to be adopted by Islamic financial institutions</w:t>
      </w:r>
      <w:r>
        <w:rPr>
          <w:rFonts w:asciiTheme="majorBidi" w:hAnsiTheme="majorBidi" w:cstheme="majorBidi"/>
          <w:sz w:val="24"/>
          <w:szCs w:val="24"/>
        </w:rPr>
        <w:t xml:space="preserve"> (IFIs)</w:t>
      </w:r>
      <w:r w:rsidR="001506E9" w:rsidRPr="00D373C2">
        <w:rPr>
          <w:rFonts w:asciiTheme="majorBidi" w:hAnsiTheme="majorBidi" w:cstheme="majorBidi"/>
          <w:sz w:val="24"/>
          <w:szCs w:val="24"/>
        </w:rPr>
        <w:t xml:space="preserve"> in June 2011.</w:t>
      </w:r>
      <w:r w:rsidR="001506E9">
        <w:rPr>
          <w:rFonts w:asciiTheme="majorBidi" w:hAnsiTheme="majorBidi" w:cstheme="majorBidi"/>
          <w:sz w:val="24"/>
          <w:szCs w:val="24"/>
        </w:rPr>
        <w:t xml:space="preserve"> </w:t>
      </w:r>
      <w:r>
        <w:rPr>
          <w:rFonts w:asciiTheme="majorBidi" w:hAnsiTheme="majorBidi" w:cstheme="majorBidi"/>
          <w:sz w:val="24"/>
          <w:szCs w:val="24"/>
        </w:rPr>
        <w:t xml:space="preserve">Meanwhile, corporate governance has been established </w:t>
      </w:r>
      <w:r w:rsidR="007772A3">
        <w:rPr>
          <w:rFonts w:asciiTheme="majorBidi" w:hAnsiTheme="majorBidi" w:cstheme="majorBidi"/>
          <w:sz w:val="24"/>
          <w:szCs w:val="24"/>
        </w:rPr>
        <w:t>in Malaysia in advance since 1999</w:t>
      </w:r>
      <w:r>
        <w:rPr>
          <w:rFonts w:asciiTheme="majorBidi" w:hAnsiTheme="majorBidi" w:cstheme="majorBidi"/>
          <w:sz w:val="24"/>
          <w:szCs w:val="24"/>
        </w:rPr>
        <w:t xml:space="preserve">. </w:t>
      </w:r>
      <w:r w:rsidR="001506E9">
        <w:rPr>
          <w:rFonts w:asciiTheme="majorBidi" w:hAnsiTheme="majorBidi" w:cstheme="majorBidi"/>
          <w:sz w:val="24"/>
          <w:szCs w:val="24"/>
        </w:rPr>
        <w:t>Hence, t</w:t>
      </w:r>
      <w:r w:rsidR="00D373C2" w:rsidRPr="00D373C2">
        <w:rPr>
          <w:rFonts w:asciiTheme="majorBidi" w:hAnsiTheme="majorBidi" w:cstheme="majorBidi"/>
          <w:sz w:val="24"/>
          <w:szCs w:val="24"/>
        </w:rPr>
        <w:t xml:space="preserve">his study </w:t>
      </w:r>
      <w:r w:rsidR="001506E9">
        <w:rPr>
          <w:rFonts w:asciiTheme="majorBidi" w:hAnsiTheme="majorBidi" w:cstheme="majorBidi"/>
          <w:sz w:val="24"/>
          <w:szCs w:val="24"/>
        </w:rPr>
        <w:t>intends to examine</w:t>
      </w:r>
      <w:r>
        <w:rPr>
          <w:rFonts w:asciiTheme="majorBidi" w:hAnsiTheme="majorBidi" w:cstheme="majorBidi"/>
          <w:sz w:val="24"/>
          <w:szCs w:val="24"/>
        </w:rPr>
        <w:t xml:space="preserve"> the effect of c</w:t>
      </w:r>
      <w:r w:rsidR="00D373C2" w:rsidRPr="00D373C2">
        <w:rPr>
          <w:rFonts w:asciiTheme="majorBidi" w:hAnsiTheme="majorBidi" w:cstheme="majorBidi"/>
          <w:sz w:val="24"/>
          <w:szCs w:val="24"/>
        </w:rPr>
        <w:t xml:space="preserve">orporate and Shari’ah governance </w:t>
      </w:r>
      <w:r w:rsidR="004A03D6">
        <w:rPr>
          <w:rFonts w:asciiTheme="majorBidi" w:hAnsiTheme="majorBidi" w:cstheme="majorBidi"/>
          <w:sz w:val="24"/>
          <w:szCs w:val="24"/>
        </w:rPr>
        <w:t>as a collaborative</w:t>
      </w:r>
      <w:bookmarkStart w:id="0" w:name="_GoBack"/>
      <w:bookmarkEnd w:id="0"/>
      <w:r w:rsidR="001506E9">
        <w:rPr>
          <w:rFonts w:asciiTheme="majorBidi" w:hAnsiTheme="majorBidi" w:cstheme="majorBidi"/>
          <w:sz w:val="24"/>
          <w:szCs w:val="24"/>
        </w:rPr>
        <w:t xml:space="preserve"> governance mechanism (CGM and SGM respectively) </w:t>
      </w:r>
      <w:r w:rsidR="00D373C2" w:rsidRPr="00D373C2">
        <w:rPr>
          <w:rFonts w:asciiTheme="majorBidi" w:hAnsiTheme="majorBidi" w:cstheme="majorBidi"/>
          <w:sz w:val="24"/>
          <w:szCs w:val="24"/>
        </w:rPr>
        <w:t>on the financial performance (FP</w:t>
      </w:r>
      <w:r w:rsidR="001506E9">
        <w:rPr>
          <w:rFonts w:asciiTheme="majorBidi" w:hAnsiTheme="majorBidi" w:cstheme="majorBidi"/>
          <w:sz w:val="24"/>
          <w:szCs w:val="24"/>
        </w:rPr>
        <w:t xml:space="preserve">) of Islamic banks in Malaysia. </w:t>
      </w:r>
      <w:r w:rsidR="00D373C2" w:rsidRPr="00D373C2">
        <w:rPr>
          <w:rFonts w:asciiTheme="majorBidi" w:hAnsiTheme="majorBidi" w:cstheme="majorBidi"/>
          <w:sz w:val="24"/>
          <w:szCs w:val="24"/>
        </w:rPr>
        <w:t>This study employs quantitative research techniques via secondary data collection methods, which covers annual reports and finan</w:t>
      </w:r>
      <w:r w:rsidR="00894C69">
        <w:rPr>
          <w:rFonts w:asciiTheme="majorBidi" w:hAnsiTheme="majorBidi" w:cstheme="majorBidi"/>
          <w:sz w:val="24"/>
          <w:szCs w:val="24"/>
        </w:rPr>
        <w:t xml:space="preserve">cial database. The data on CGM and </w:t>
      </w:r>
      <w:r w:rsidR="00D373C2" w:rsidRPr="00D373C2">
        <w:rPr>
          <w:rFonts w:asciiTheme="majorBidi" w:hAnsiTheme="majorBidi" w:cstheme="majorBidi"/>
          <w:sz w:val="24"/>
          <w:szCs w:val="24"/>
        </w:rPr>
        <w:t xml:space="preserve">SGM were taken from annual reports of thirteen Islamic banks in Malaysia. </w:t>
      </w:r>
      <w:r w:rsidR="00894C69">
        <w:rPr>
          <w:rFonts w:asciiTheme="majorBidi" w:hAnsiTheme="majorBidi" w:cstheme="majorBidi"/>
          <w:sz w:val="24"/>
          <w:szCs w:val="24"/>
        </w:rPr>
        <w:t xml:space="preserve">FP was taken from </w:t>
      </w:r>
      <w:r w:rsidR="00AB4722">
        <w:rPr>
          <w:rFonts w:asciiTheme="majorBidi" w:hAnsiTheme="majorBidi" w:cstheme="majorBidi"/>
          <w:sz w:val="24"/>
          <w:szCs w:val="24"/>
        </w:rPr>
        <w:t xml:space="preserve">the </w:t>
      </w:r>
      <w:r w:rsidR="00894C69">
        <w:rPr>
          <w:rFonts w:asciiTheme="majorBidi" w:hAnsiTheme="majorBidi" w:cstheme="majorBidi"/>
          <w:sz w:val="24"/>
          <w:szCs w:val="24"/>
        </w:rPr>
        <w:t xml:space="preserve">Bankscope database. </w:t>
      </w:r>
      <w:r w:rsidR="00D373C2" w:rsidRPr="00D373C2">
        <w:rPr>
          <w:rFonts w:asciiTheme="majorBidi" w:hAnsiTheme="majorBidi" w:cstheme="majorBidi"/>
          <w:sz w:val="24"/>
          <w:szCs w:val="24"/>
        </w:rPr>
        <w:t>The data analysis has been done via Smart PLS SEM.</w:t>
      </w:r>
      <w:r w:rsidR="001506E9">
        <w:rPr>
          <w:rFonts w:asciiTheme="majorBidi" w:hAnsiTheme="majorBidi" w:cstheme="majorBidi"/>
          <w:sz w:val="24"/>
          <w:szCs w:val="24"/>
        </w:rPr>
        <w:t xml:space="preserve"> </w:t>
      </w:r>
      <w:r w:rsidR="00D373C2" w:rsidRPr="00D373C2">
        <w:rPr>
          <w:rFonts w:asciiTheme="majorBidi" w:hAnsiTheme="majorBidi" w:cstheme="majorBidi"/>
          <w:sz w:val="24"/>
          <w:szCs w:val="24"/>
        </w:rPr>
        <w:t>The results indicate that CGM and SGM have a significant influence on FP of Islamic banks in Malaysia. The findings of this st</w:t>
      </w:r>
      <w:r w:rsidR="00AB4722">
        <w:rPr>
          <w:rFonts w:asciiTheme="majorBidi" w:hAnsiTheme="majorBidi" w:cstheme="majorBidi"/>
          <w:sz w:val="24"/>
          <w:szCs w:val="24"/>
        </w:rPr>
        <w:t>udy indicates that the importance</w:t>
      </w:r>
      <w:r w:rsidR="00D373C2" w:rsidRPr="00D373C2">
        <w:rPr>
          <w:rFonts w:asciiTheme="majorBidi" w:hAnsiTheme="majorBidi" w:cstheme="majorBidi"/>
          <w:sz w:val="24"/>
          <w:szCs w:val="24"/>
        </w:rPr>
        <w:t xml:space="preserve"> of Islamic rules and regulations, moral values and ethics in enhancing financial performance of the Islamic banks.</w:t>
      </w:r>
      <w:r w:rsidR="001506E9">
        <w:rPr>
          <w:rFonts w:asciiTheme="majorBidi" w:hAnsiTheme="majorBidi" w:cstheme="majorBidi"/>
          <w:sz w:val="24"/>
          <w:szCs w:val="24"/>
        </w:rPr>
        <w:t xml:space="preserve"> </w:t>
      </w:r>
      <w:r w:rsidR="00D373C2" w:rsidRPr="00D373C2">
        <w:rPr>
          <w:rFonts w:asciiTheme="majorBidi" w:hAnsiTheme="majorBidi" w:cstheme="majorBidi"/>
          <w:sz w:val="24"/>
          <w:szCs w:val="24"/>
        </w:rPr>
        <w:t>This research has documented evidence that Shari’ah</w:t>
      </w:r>
      <w:r w:rsidR="001506E9">
        <w:rPr>
          <w:rFonts w:asciiTheme="majorBidi" w:hAnsiTheme="majorBidi" w:cstheme="majorBidi"/>
          <w:sz w:val="24"/>
          <w:szCs w:val="24"/>
        </w:rPr>
        <w:t xml:space="preserve"> governance mechanism (SGM) is</w:t>
      </w:r>
      <w:r w:rsidR="00D373C2" w:rsidRPr="00D373C2">
        <w:rPr>
          <w:rFonts w:asciiTheme="majorBidi" w:hAnsiTheme="majorBidi" w:cstheme="majorBidi"/>
          <w:sz w:val="24"/>
          <w:szCs w:val="24"/>
        </w:rPr>
        <w:t xml:space="preserve"> an essential predictor in explaining financial performance</w:t>
      </w:r>
      <w:r w:rsidR="00D373C2">
        <w:rPr>
          <w:rFonts w:asciiTheme="majorBidi" w:hAnsiTheme="majorBidi" w:cstheme="majorBidi"/>
          <w:sz w:val="24"/>
          <w:szCs w:val="24"/>
        </w:rPr>
        <w:t xml:space="preserve"> </w:t>
      </w:r>
      <w:r w:rsidR="00D373C2" w:rsidRPr="00D373C2">
        <w:rPr>
          <w:rFonts w:asciiTheme="majorBidi" w:hAnsiTheme="majorBidi" w:cstheme="majorBidi"/>
          <w:sz w:val="24"/>
          <w:szCs w:val="24"/>
        </w:rPr>
        <w:t>of Islamic banks in Malaysia. This can be perhaps because of Shari’ah board members understand the ultimate objective of Islamic institutions in helping shareholders and other shareholders who are society as a whole to ensure the proper distribution of wealth and resources.</w:t>
      </w:r>
    </w:p>
    <w:p w:rsidR="006C4459" w:rsidRPr="006E388F" w:rsidRDefault="006C4459" w:rsidP="006E388F">
      <w:pPr>
        <w:spacing w:line="240" w:lineRule="auto"/>
        <w:jc w:val="center"/>
        <w:rPr>
          <w:rFonts w:asciiTheme="majorBidi" w:hAnsiTheme="majorBidi" w:cstheme="majorBidi"/>
          <w:sz w:val="24"/>
          <w:szCs w:val="24"/>
        </w:rPr>
      </w:pPr>
    </w:p>
    <w:p w:rsidR="009B588E" w:rsidRPr="006E388F" w:rsidRDefault="00B53509" w:rsidP="006E388F">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rsidR="006C4459" w:rsidRPr="006E388F" w:rsidRDefault="006C4459" w:rsidP="006E388F">
      <w:pPr>
        <w:spacing w:after="0" w:line="240" w:lineRule="auto"/>
        <w:jc w:val="both"/>
        <w:rPr>
          <w:rStyle w:val="CharAttribute2"/>
          <w:rFonts w:asciiTheme="majorBidi" w:eastAsia="Batang" w:hAnsiTheme="majorBidi" w:cstheme="majorBidi"/>
          <w:szCs w:val="24"/>
          <w:lang w:val="en-GB"/>
        </w:rPr>
      </w:pPr>
    </w:p>
    <w:p w:rsidR="00FB4091" w:rsidRPr="006E388F" w:rsidRDefault="00FB4091" w:rsidP="006E388F">
      <w:pPr>
        <w:spacing w:line="240" w:lineRule="auto"/>
        <w:jc w:val="both"/>
        <w:rPr>
          <w:rFonts w:asciiTheme="majorBidi" w:eastAsia="Batang" w:hAnsiTheme="majorBidi" w:cstheme="majorBidi"/>
          <w:color w:val="FF0000"/>
          <w:sz w:val="24"/>
          <w:szCs w:val="24"/>
          <w:lang w:val="en-GB"/>
        </w:rPr>
      </w:pPr>
      <w:r w:rsidRPr="006E388F">
        <w:rPr>
          <w:rStyle w:val="CharAttribute2"/>
          <w:rFonts w:asciiTheme="majorBidi" w:eastAsia="Batang" w:hAnsiTheme="majorBidi" w:cstheme="majorBidi"/>
          <w:szCs w:val="24"/>
          <w:lang w:val="en-GB"/>
        </w:rPr>
        <w:t xml:space="preserve">Corporate governance is essential to ensure the smooth running of any </w:t>
      </w:r>
      <w:r w:rsidRPr="006E388F">
        <w:rPr>
          <w:rStyle w:val="CharAttribute2"/>
          <w:rFonts w:asciiTheme="majorBidi" w:eastAsia="Batang" w:hAnsiTheme="majorBidi" w:cstheme="majorBidi"/>
          <w:noProof/>
          <w:szCs w:val="24"/>
          <w:lang w:val="en-GB"/>
        </w:rPr>
        <w:t>business,</w:t>
      </w:r>
      <w:r w:rsidRPr="006E388F">
        <w:rPr>
          <w:rStyle w:val="CharAttribute2"/>
          <w:rFonts w:asciiTheme="majorBidi" w:eastAsia="Batang" w:hAnsiTheme="majorBidi" w:cstheme="majorBidi"/>
          <w:szCs w:val="24"/>
          <w:lang w:val="en-GB"/>
        </w:rPr>
        <w:t xml:space="preserve"> and it has been seen as a mechanism to improve accountability and performance. However, there is a critical debate on the governance and performance based on the increasing number of corporate/bank closures and difficulties.  </w:t>
      </w:r>
      <w:r w:rsidRPr="006E388F">
        <w:rPr>
          <w:rFonts w:asciiTheme="majorBidi" w:hAnsiTheme="majorBidi" w:cstheme="majorBidi"/>
          <w:sz w:val="24"/>
          <w:szCs w:val="24"/>
          <w:lang w:val="en-GB"/>
        </w:rPr>
        <w:t>The people comprising the management of the institution are the key players that bear the ultimate responsibility and accountability to run the business properly.  This has been proven from cases around the world involving senior persons in the business operations who were not acting in the best interests of shareholders and other stakeholders.</w:t>
      </w:r>
    </w:p>
    <w:p w:rsidR="00FB4091" w:rsidRPr="006E388F" w:rsidRDefault="00FB4091" w:rsidP="00897AB8">
      <w:pPr>
        <w:pStyle w:val="ParaAttribute12"/>
        <w:ind w:firstLine="720"/>
        <w:rPr>
          <w:rStyle w:val="CharAttribute2"/>
          <w:rFonts w:asciiTheme="majorBidi" w:eastAsia="Batang" w:hAnsiTheme="majorBidi" w:cstheme="majorBidi"/>
          <w:szCs w:val="24"/>
          <w:lang w:val="en-GB"/>
        </w:rPr>
      </w:pPr>
      <w:r w:rsidRPr="006E388F">
        <w:rPr>
          <w:rStyle w:val="CharAttribute2"/>
          <w:rFonts w:asciiTheme="majorBidi" w:eastAsia="Batang" w:hAnsiTheme="majorBidi" w:cstheme="majorBidi"/>
          <w:szCs w:val="24"/>
          <w:lang w:val="en-GB"/>
        </w:rPr>
        <w:t>In 1999, the Malaysian Finance Committee Report defined corporate governance as “</w:t>
      </w:r>
      <w:r w:rsidRPr="006E388F">
        <w:rPr>
          <w:rStyle w:val="CharAttribute2"/>
          <w:rFonts w:asciiTheme="majorBidi" w:eastAsia="Batang" w:hAnsiTheme="majorBidi" w:cstheme="majorBidi"/>
          <w:i/>
          <w:iCs/>
          <w:szCs w:val="24"/>
          <w:lang w:val="en-GB"/>
        </w:rPr>
        <w:t xml:space="preserve">the process and structure used to direct and manage the business and affairs of the institution </w:t>
      </w:r>
      <w:r w:rsidRPr="006E388F">
        <w:rPr>
          <w:rStyle w:val="CharAttribute2"/>
          <w:rFonts w:asciiTheme="majorBidi" w:eastAsia="Batang" w:hAnsiTheme="majorBidi" w:cstheme="majorBidi"/>
          <w:i/>
          <w:iCs/>
          <w:szCs w:val="24"/>
          <w:lang w:val="en-GB"/>
        </w:rPr>
        <w:lastRenderedPageBreak/>
        <w:t xml:space="preserve">toward enhancing business prosperity and corporate accountability with the ultimate objective of </w:t>
      </w:r>
      <w:r w:rsidRPr="006E388F">
        <w:rPr>
          <w:rStyle w:val="CharAttribute2"/>
          <w:rFonts w:asciiTheme="majorBidi" w:eastAsia="Batang" w:hAnsiTheme="majorBidi" w:cstheme="majorBidi"/>
          <w:i/>
          <w:iCs/>
          <w:noProof/>
          <w:szCs w:val="24"/>
          <w:lang w:val="en-GB"/>
        </w:rPr>
        <w:t>realising</w:t>
      </w:r>
      <w:r w:rsidRPr="006E388F">
        <w:rPr>
          <w:rStyle w:val="CharAttribute2"/>
          <w:rFonts w:asciiTheme="majorBidi" w:eastAsia="Batang" w:hAnsiTheme="majorBidi" w:cstheme="majorBidi"/>
          <w:i/>
          <w:iCs/>
          <w:szCs w:val="24"/>
          <w:lang w:val="en-GB"/>
        </w:rPr>
        <w:t xml:space="preserve"> long-term shareholders’ value, whilst taking into account the interests of other stakeholders</w:t>
      </w:r>
      <w:r w:rsidRPr="006E388F">
        <w:rPr>
          <w:rStyle w:val="CharAttribute2"/>
          <w:rFonts w:asciiTheme="majorBidi" w:eastAsia="Batang" w:hAnsiTheme="majorBidi" w:cstheme="majorBidi"/>
          <w:szCs w:val="24"/>
          <w:lang w:val="en-GB"/>
        </w:rPr>
        <w:t>”</w:t>
      </w:r>
      <w:r w:rsidR="006E388F" w:rsidRPr="006E388F">
        <w:rPr>
          <w:rStyle w:val="CharAttribute2"/>
          <w:rFonts w:asciiTheme="majorBidi" w:eastAsia="Batang" w:hAnsiTheme="majorBidi" w:cstheme="majorBidi"/>
          <w:szCs w:val="24"/>
          <w:lang w:val="en-GB"/>
        </w:rPr>
        <w:t xml:space="preserve">. </w:t>
      </w:r>
      <w:r w:rsidRPr="006E388F">
        <w:rPr>
          <w:rStyle w:val="CharAttribute2"/>
          <w:rFonts w:asciiTheme="majorBidi" w:eastAsia="Batang" w:hAnsiTheme="majorBidi" w:cstheme="majorBidi"/>
          <w:szCs w:val="24"/>
          <w:lang w:val="en-GB"/>
        </w:rPr>
        <w:t xml:space="preserve">Moreover, the Organisation for Economic Co-operation and Development (OECD) in the Principles of Corporate Governance (2000, revised April 2004) defines corporate governance as the </w:t>
      </w:r>
      <w:r w:rsidRPr="006E388F">
        <w:rPr>
          <w:rStyle w:val="CharAttribute2"/>
          <w:rFonts w:asciiTheme="majorBidi" w:eastAsia="Batang" w:hAnsiTheme="majorBidi" w:cstheme="majorBidi"/>
          <w:i/>
          <w:iCs/>
          <w:szCs w:val="24"/>
          <w:lang w:val="en-GB"/>
        </w:rPr>
        <w:t xml:space="preserve">“…set of </w:t>
      </w:r>
      <w:r w:rsidRPr="006E388F">
        <w:rPr>
          <w:rStyle w:val="CharAttribute2"/>
          <w:rFonts w:asciiTheme="majorBidi" w:eastAsia="Batang" w:hAnsiTheme="majorBidi" w:cstheme="majorBidi"/>
          <w:i/>
          <w:iCs/>
          <w:noProof/>
          <w:szCs w:val="24"/>
          <w:lang w:val="en-GB"/>
        </w:rPr>
        <w:t>relationship[s]</w:t>
      </w:r>
      <w:r w:rsidRPr="006E388F">
        <w:rPr>
          <w:rStyle w:val="CharAttribute2"/>
          <w:rFonts w:asciiTheme="majorBidi" w:eastAsia="Batang" w:hAnsiTheme="majorBidi" w:cstheme="majorBidi"/>
          <w:i/>
          <w:iCs/>
          <w:szCs w:val="24"/>
          <w:lang w:val="en-GB"/>
        </w:rPr>
        <w:t xml:space="preserve"> between a (company’s) management, its board, its shareholders and other stakeholders. Corporate governance also provides the structure through which the objectives of (the company) are set, and the means of attaining those objectives and monitoring performance are determined.</w:t>
      </w:r>
      <w:r w:rsidRPr="006E388F">
        <w:rPr>
          <w:rStyle w:val="CharAttribute2"/>
          <w:rFonts w:asciiTheme="majorBidi" w:eastAsia="Batang" w:hAnsiTheme="majorBidi" w:cstheme="majorBidi"/>
          <w:szCs w:val="24"/>
          <w:lang w:val="en-GB"/>
        </w:rPr>
        <w:t xml:space="preserve">” It is emphasized that corporate governance involves a set of relationships between an institution’s management, its board, shareholders and other stakeholders.  </w:t>
      </w:r>
    </w:p>
    <w:p w:rsidR="00FB4091" w:rsidRPr="006E388F" w:rsidRDefault="00FB4091" w:rsidP="006E388F">
      <w:pPr>
        <w:pStyle w:val="ParaAttribute12"/>
        <w:ind w:firstLine="720"/>
        <w:rPr>
          <w:rFonts w:asciiTheme="majorBidi" w:hAnsiTheme="majorBidi" w:cstheme="majorBidi"/>
          <w:sz w:val="24"/>
          <w:szCs w:val="24"/>
          <w:lang w:val="en-GB"/>
        </w:rPr>
      </w:pPr>
      <w:r w:rsidRPr="006E388F">
        <w:rPr>
          <w:rStyle w:val="CharAttribute2"/>
          <w:rFonts w:asciiTheme="majorBidi" w:eastAsia="Batang" w:hAnsiTheme="majorBidi" w:cstheme="majorBidi"/>
          <w:szCs w:val="24"/>
          <w:lang w:val="en-GB"/>
        </w:rPr>
        <w:t xml:space="preserve">In fact, the code also further explains that corporate governance provides the structure through which the objectives of the company are set, and the means of attaining those objectives and monitoring performance are determined. Therefore, from the definition itself, corporate governance can be illustrated as a mechanism </w:t>
      </w:r>
      <w:r w:rsidRPr="006E388F">
        <w:rPr>
          <w:rStyle w:val="CharAttribute2"/>
          <w:rFonts w:asciiTheme="majorBidi" w:eastAsia="Batang" w:hAnsiTheme="majorBidi" w:cstheme="majorBidi"/>
          <w:noProof/>
          <w:szCs w:val="24"/>
          <w:lang w:val="en-GB"/>
        </w:rPr>
        <w:t>for</w:t>
      </w:r>
      <w:r w:rsidRPr="006E388F">
        <w:rPr>
          <w:rStyle w:val="CharAttribute2"/>
          <w:rFonts w:asciiTheme="majorBidi" w:eastAsia="Batang" w:hAnsiTheme="majorBidi" w:cstheme="majorBidi"/>
          <w:szCs w:val="24"/>
          <w:lang w:val="en-GB"/>
        </w:rPr>
        <w:t xml:space="preserve"> managing and monitoring a corporation to achieve its objectives, and, at the same time, to ensure that the interests and welfare of the shareholders and stakeholders are protected. Indeed, Bank (2009) also highlights that good governance is an effective mechanism </w:t>
      </w:r>
      <w:r w:rsidRPr="006E388F">
        <w:rPr>
          <w:rStyle w:val="CharAttribute2"/>
          <w:rFonts w:asciiTheme="majorBidi" w:eastAsia="Batang" w:hAnsiTheme="majorBidi" w:cstheme="majorBidi"/>
          <w:noProof/>
          <w:szCs w:val="24"/>
          <w:lang w:val="en-GB"/>
        </w:rPr>
        <w:t>for</w:t>
      </w:r>
      <w:r w:rsidRPr="006E388F">
        <w:rPr>
          <w:rStyle w:val="CharAttribute2"/>
          <w:rFonts w:asciiTheme="majorBidi" w:eastAsia="Batang" w:hAnsiTheme="majorBidi" w:cstheme="majorBidi"/>
          <w:szCs w:val="24"/>
          <w:lang w:val="en-GB"/>
        </w:rPr>
        <w:t xml:space="preserve"> protecting stakeholders, whilst poor governance puts all parties at risk.</w:t>
      </w:r>
      <w:r w:rsidRPr="006E388F">
        <w:rPr>
          <w:rFonts w:asciiTheme="majorBidi" w:hAnsiTheme="majorBidi" w:cstheme="majorBidi"/>
          <w:sz w:val="24"/>
          <w:szCs w:val="24"/>
          <w:lang w:val="en-GB"/>
        </w:rPr>
        <w:t xml:space="preserve">  By having the best practices of governance in place, the interests of shareholders and other stakeholders are guaranteed by the proper running of the business, which is handled by the appropriate and responsible individuals.  </w:t>
      </w:r>
    </w:p>
    <w:p w:rsidR="00117B04" w:rsidRPr="006E388F" w:rsidRDefault="00FB4091" w:rsidP="006E388F">
      <w:pPr>
        <w:pStyle w:val="ParaAttribute12"/>
        <w:ind w:firstLine="720"/>
        <w:rPr>
          <w:rStyle w:val="CharAttribute65"/>
          <w:rFonts w:asciiTheme="majorBidi" w:eastAsia="Batang" w:hAnsiTheme="majorBidi" w:cstheme="majorBidi"/>
          <w:sz w:val="24"/>
          <w:szCs w:val="24"/>
          <w:lang w:val="en-GB"/>
        </w:rPr>
      </w:pPr>
      <w:r w:rsidRPr="006E388F">
        <w:rPr>
          <w:rStyle w:val="CharAttribute2"/>
          <w:rFonts w:asciiTheme="majorBidi" w:eastAsia="Batang" w:hAnsiTheme="majorBidi" w:cstheme="majorBidi"/>
          <w:szCs w:val="24"/>
          <w:lang w:val="en-GB"/>
        </w:rPr>
        <w:t xml:space="preserve">In the financial services sector, the principal-agent relationship carries the same definition as is applied in the </w:t>
      </w:r>
      <w:r w:rsidRPr="006E388F">
        <w:rPr>
          <w:rStyle w:val="CharAttribute2"/>
          <w:rFonts w:asciiTheme="majorBidi" w:eastAsia="Batang" w:hAnsiTheme="majorBidi" w:cstheme="majorBidi"/>
          <w:noProof/>
          <w:szCs w:val="24"/>
          <w:lang w:val="en-GB"/>
        </w:rPr>
        <w:t>corporate</w:t>
      </w:r>
      <w:r w:rsidRPr="006E388F">
        <w:rPr>
          <w:rStyle w:val="CharAttribute2"/>
          <w:rFonts w:asciiTheme="majorBidi" w:eastAsia="Batang" w:hAnsiTheme="majorBidi" w:cstheme="majorBidi"/>
          <w:szCs w:val="24"/>
          <w:lang w:val="en-GB"/>
        </w:rPr>
        <w:t xml:space="preserve"> sector. However, the additional requirements of governance for Islamic banks </w:t>
      </w:r>
      <w:r w:rsidRPr="006E388F">
        <w:rPr>
          <w:rStyle w:val="CharAttribute2"/>
          <w:rFonts w:asciiTheme="majorBidi" w:eastAsia="Batang" w:hAnsiTheme="majorBidi" w:cstheme="majorBidi"/>
          <w:noProof/>
          <w:szCs w:val="24"/>
          <w:lang w:val="en-GB"/>
        </w:rPr>
        <w:t>need</w:t>
      </w:r>
      <w:r w:rsidRPr="006E388F">
        <w:rPr>
          <w:rStyle w:val="CharAttribute2"/>
          <w:rFonts w:asciiTheme="majorBidi" w:eastAsia="Batang" w:hAnsiTheme="majorBidi" w:cstheme="majorBidi"/>
          <w:szCs w:val="24"/>
          <w:lang w:val="en-GB"/>
        </w:rPr>
        <w:t xml:space="preserve"> to be understood by the persons responsible when making decisions for Islamic banks. As highlighted by Chapra (2004), there are three groups of internal key components in Islamic banks involving decision-making – the board of directors, the Shari’ah and key Shari’ah compliance functions, and the majority shareholders. They are in the position to make sound decisions and realign the direction of the business </w:t>
      </w:r>
      <w:r w:rsidRPr="006E388F">
        <w:rPr>
          <w:rStyle w:val="CharAttribute65"/>
          <w:rFonts w:asciiTheme="majorBidi" w:eastAsia="Batang" w:hAnsiTheme="majorBidi" w:cstheme="majorBidi"/>
          <w:sz w:val="24"/>
          <w:szCs w:val="24"/>
          <w:lang w:val="en-GB"/>
        </w:rPr>
        <w:t>for the sake of shareholders and other</w:t>
      </w:r>
      <w:r w:rsidR="00117B04" w:rsidRPr="006E388F">
        <w:rPr>
          <w:rStyle w:val="CharAttribute65"/>
          <w:rFonts w:asciiTheme="majorBidi" w:eastAsia="Batang" w:hAnsiTheme="majorBidi" w:cstheme="majorBidi"/>
          <w:sz w:val="24"/>
          <w:szCs w:val="24"/>
          <w:lang w:val="en-GB"/>
        </w:rPr>
        <w:t xml:space="preserve"> stakeholders in Islamic banks in achieving good performance of the Islamic banks.</w:t>
      </w:r>
    </w:p>
    <w:p w:rsidR="00324EF6" w:rsidRPr="006E388F" w:rsidRDefault="009B588E" w:rsidP="006E388F">
      <w:pPr>
        <w:pStyle w:val="ParaAttribute12"/>
        <w:ind w:firstLine="720"/>
        <w:rPr>
          <w:rFonts w:asciiTheme="majorBidi" w:hAnsiTheme="majorBidi" w:cstheme="majorBidi"/>
          <w:sz w:val="24"/>
          <w:szCs w:val="24"/>
          <w:lang w:val="en-GB"/>
        </w:rPr>
      </w:pPr>
      <w:r w:rsidRPr="006E388F">
        <w:rPr>
          <w:rStyle w:val="CharAttribute2"/>
          <w:rFonts w:asciiTheme="majorBidi" w:eastAsia="Batang" w:hAnsiTheme="majorBidi" w:cstheme="majorBidi"/>
          <w:szCs w:val="24"/>
          <w:lang w:val="en-GB"/>
        </w:rPr>
        <w:t xml:space="preserve">This </w:t>
      </w:r>
      <w:r w:rsidR="00470B43" w:rsidRPr="006E388F">
        <w:rPr>
          <w:rStyle w:val="CharAttribute2"/>
          <w:rFonts w:asciiTheme="majorBidi" w:eastAsia="Batang" w:hAnsiTheme="majorBidi" w:cstheme="majorBidi"/>
          <w:szCs w:val="24"/>
          <w:lang w:val="en-GB"/>
        </w:rPr>
        <w:t xml:space="preserve">study </w:t>
      </w:r>
      <w:r w:rsidR="00DB5688" w:rsidRPr="006E388F">
        <w:rPr>
          <w:rStyle w:val="CharAttribute2"/>
          <w:rFonts w:asciiTheme="majorBidi" w:eastAsia="Batang" w:hAnsiTheme="majorBidi" w:cstheme="majorBidi"/>
          <w:szCs w:val="24"/>
          <w:lang w:val="en-GB"/>
        </w:rPr>
        <w:t>evaluates</w:t>
      </w:r>
      <w:r w:rsidRPr="006E388F">
        <w:rPr>
          <w:rStyle w:val="CharAttribute2"/>
          <w:rFonts w:asciiTheme="majorBidi" w:eastAsia="Batang" w:hAnsiTheme="majorBidi" w:cstheme="majorBidi"/>
          <w:szCs w:val="24"/>
          <w:lang w:val="en-GB"/>
        </w:rPr>
        <w:t xml:space="preserve"> how the monitoring and control</w:t>
      </w:r>
      <w:r w:rsidR="00AB4722">
        <w:rPr>
          <w:rStyle w:val="CharAttribute2"/>
          <w:rFonts w:asciiTheme="majorBidi" w:eastAsia="Batang" w:hAnsiTheme="majorBidi" w:cstheme="majorBidi"/>
          <w:szCs w:val="24"/>
          <w:lang w:val="en-GB"/>
        </w:rPr>
        <w:t xml:space="preserve"> mechanism of </w:t>
      </w:r>
      <w:r w:rsidR="00DB5688" w:rsidRPr="006E388F">
        <w:rPr>
          <w:rStyle w:val="CharAttribute2"/>
          <w:rFonts w:asciiTheme="majorBidi" w:eastAsia="Batang" w:hAnsiTheme="majorBidi" w:cstheme="majorBidi"/>
          <w:szCs w:val="24"/>
          <w:lang w:val="en-GB"/>
        </w:rPr>
        <w:t xml:space="preserve">corporate and </w:t>
      </w:r>
      <w:r w:rsidR="00355D68" w:rsidRPr="006E388F">
        <w:rPr>
          <w:rStyle w:val="CharAttribute2"/>
          <w:rFonts w:asciiTheme="majorBidi" w:eastAsia="Batang" w:hAnsiTheme="majorBidi" w:cstheme="majorBidi"/>
          <w:szCs w:val="24"/>
          <w:lang w:val="en-GB"/>
        </w:rPr>
        <w:t xml:space="preserve">Shari’ah governance </w:t>
      </w:r>
      <w:r w:rsidRPr="006E388F">
        <w:rPr>
          <w:rStyle w:val="CharAttribute2"/>
          <w:rFonts w:asciiTheme="majorBidi" w:eastAsia="Batang" w:hAnsiTheme="majorBidi" w:cstheme="majorBidi"/>
          <w:szCs w:val="24"/>
          <w:lang w:val="en-GB"/>
        </w:rPr>
        <w:t>ca</w:t>
      </w:r>
      <w:r w:rsidR="00DB5688" w:rsidRPr="006E388F">
        <w:rPr>
          <w:rStyle w:val="CharAttribute2"/>
          <w:rFonts w:asciiTheme="majorBidi" w:eastAsia="Batang" w:hAnsiTheme="majorBidi" w:cstheme="majorBidi"/>
          <w:szCs w:val="24"/>
          <w:lang w:val="en-GB"/>
        </w:rPr>
        <w:t>n better contribute to financial</w:t>
      </w:r>
      <w:r w:rsidR="00355D68" w:rsidRPr="006E388F">
        <w:rPr>
          <w:rStyle w:val="CharAttribute2"/>
          <w:rFonts w:asciiTheme="majorBidi" w:eastAsia="Batang" w:hAnsiTheme="majorBidi" w:cstheme="majorBidi"/>
          <w:szCs w:val="24"/>
          <w:lang w:val="en-GB"/>
        </w:rPr>
        <w:t xml:space="preserve"> performance. </w:t>
      </w:r>
      <w:r w:rsidR="00470B43" w:rsidRPr="006E388F">
        <w:rPr>
          <w:rStyle w:val="CharAttribute2"/>
          <w:rFonts w:asciiTheme="majorBidi" w:eastAsia="Batang" w:hAnsiTheme="majorBidi" w:cstheme="majorBidi"/>
          <w:szCs w:val="24"/>
          <w:lang w:val="en-GB"/>
        </w:rPr>
        <w:t>T</w:t>
      </w:r>
      <w:r w:rsidRPr="006E388F">
        <w:rPr>
          <w:rStyle w:val="CharAttribute2"/>
          <w:rFonts w:asciiTheme="majorBidi" w:eastAsia="Batang" w:hAnsiTheme="majorBidi" w:cstheme="majorBidi"/>
          <w:szCs w:val="24"/>
          <w:lang w:val="en-GB"/>
        </w:rPr>
        <w:t>his study</w:t>
      </w:r>
      <w:r w:rsidR="00470B43" w:rsidRPr="006E388F">
        <w:rPr>
          <w:rStyle w:val="CharAttribute2"/>
          <w:rFonts w:asciiTheme="majorBidi" w:eastAsia="Batang" w:hAnsiTheme="majorBidi" w:cstheme="majorBidi"/>
          <w:szCs w:val="24"/>
          <w:lang w:val="en-GB"/>
        </w:rPr>
        <w:t xml:space="preserve"> also </w:t>
      </w:r>
      <w:r w:rsidR="00DB5688" w:rsidRPr="006E388F">
        <w:rPr>
          <w:rStyle w:val="CharAttribute2"/>
          <w:rFonts w:asciiTheme="majorBidi" w:eastAsia="Batang" w:hAnsiTheme="majorBidi" w:cstheme="majorBidi"/>
          <w:szCs w:val="24"/>
          <w:lang w:val="en-GB"/>
        </w:rPr>
        <w:t>examines</w:t>
      </w:r>
      <w:r w:rsidRPr="006E388F">
        <w:rPr>
          <w:rStyle w:val="CharAttribute2"/>
          <w:rFonts w:asciiTheme="majorBidi" w:eastAsia="Batang" w:hAnsiTheme="majorBidi" w:cstheme="majorBidi"/>
          <w:szCs w:val="24"/>
          <w:lang w:val="en-GB"/>
        </w:rPr>
        <w:t xml:space="preserve"> the</w:t>
      </w:r>
      <w:r w:rsidR="00324EF6" w:rsidRPr="006E388F">
        <w:rPr>
          <w:rStyle w:val="CharAttribute2"/>
          <w:rFonts w:asciiTheme="majorBidi" w:eastAsia="Batang" w:hAnsiTheme="majorBidi" w:cstheme="majorBidi"/>
          <w:szCs w:val="24"/>
          <w:lang w:val="en-GB"/>
        </w:rPr>
        <w:t xml:space="preserve"> adequa</w:t>
      </w:r>
      <w:r w:rsidR="00470B43" w:rsidRPr="006E388F">
        <w:rPr>
          <w:rStyle w:val="CharAttribute2"/>
          <w:rFonts w:asciiTheme="majorBidi" w:eastAsia="Batang" w:hAnsiTheme="majorBidi" w:cstheme="majorBidi"/>
          <w:szCs w:val="24"/>
          <w:lang w:val="en-GB"/>
        </w:rPr>
        <w:t xml:space="preserve">cy of </w:t>
      </w:r>
      <w:r w:rsidR="00DB5688" w:rsidRPr="006E388F">
        <w:rPr>
          <w:rStyle w:val="CharAttribute2"/>
          <w:rFonts w:asciiTheme="majorBidi" w:eastAsia="Batang" w:hAnsiTheme="majorBidi" w:cstheme="majorBidi"/>
          <w:szCs w:val="24"/>
          <w:lang w:val="en-GB"/>
        </w:rPr>
        <w:t xml:space="preserve">corporate and </w:t>
      </w:r>
      <w:r w:rsidRPr="006E388F">
        <w:rPr>
          <w:rStyle w:val="CharAttribute2"/>
          <w:rFonts w:asciiTheme="majorBidi" w:eastAsia="Batang" w:hAnsiTheme="majorBidi" w:cstheme="majorBidi"/>
          <w:szCs w:val="24"/>
          <w:lang w:val="en-GB"/>
        </w:rPr>
        <w:t xml:space="preserve">Shari’ah governance monitoring and control mechanisms that are expected to </w:t>
      </w:r>
      <w:r w:rsidR="00AB4722">
        <w:rPr>
          <w:rStyle w:val="CharAttribute2"/>
          <w:rFonts w:asciiTheme="majorBidi" w:eastAsia="Batang" w:hAnsiTheme="majorBidi" w:cstheme="majorBidi"/>
          <w:szCs w:val="24"/>
          <w:lang w:val="en-GB"/>
        </w:rPr>
        <w:t>reduce or minimiz</w:t>
      </w:r>
      <w:r w:rsidRPr="006E388F">
        <w:rPr>
          <w:rStyle w:val="CharAttribute2"/>
          <w:rFonts w:asciiTheme="majorBidi" w:eastAsia="Batang" w:hAnsiTheme="majorBidi" w:cstheme="majorBidi"/>
          <w:szCs w:val="24"/>
          <w:lang w:val="en-GB"/>
        </w:rPr>
        <w:t>e agency and accountability problems in Islamic banks.</w:t>
      </w:r>
      <w:r w:rsidR="00470B43" w:rsidRPr="006E388F">
        <w:rPr>
          <w:rStyle w:val="CharAttribute2"/>
          <w:rFonts w:asciiTheme="majorBidi" w:eastAsia="Batang" w:hAnsiTheme="majorBidi" w:cstheme="majorBidi"/>
          <w:szCs w:val="24"/>
          <w:lang w:val="en-GB"/>
        </w:rPr>
        <w:t xml:space="preserve"> </w:t>
      </w:r>
      <w:r w:rsidR="00324EF6" w:rsidRPr="006E388F">
        <w:rPr>
          <w:rFonts w:asciiTheme="majorBidi" w:hAnsiTheme="majorBidi" w:cstheme="majorBidi"/>
          <w:sz w:val="24"/>
          <w:szCs w:val="24"/>
          <w:lang w:val="en-GB"/>
        </w:rPr>
        <w:t xml:space="preserve">This study provides empirical evidence </w:t>
      </w:r>
      <w:r w:rsidR="00470B43" w:rsidRPr="006E388F">
        <w:rPr>
          <w:rFonts w:asciiTheme="majorBidi" w:hAnsiTheme="majorBidi" w:cstheme="majorBidi"/>
          <w:sz w:val="24"/>
          <w:szCs w:val="24"/>
          <w:lang w:val="en-GB"/>
        </w:rPr>
        <w:t xml:space="preserve">on whether </w:t>
      </w:r>
      <w:r w:rsidR="00324EF6" w:rsidRPr="006E388F">
        <w:rPr>
          <w:rFonts w:asciiTheme="majorBidi" w:hAnsiTheme="majorBidi" w:cstheme="majorBidi"/>
          <w:sz w:val="24"/>
          <w:szCs w:val="24"/>
          <w:lang w:val="en-GB"/>
        </w:rPr>
        <w:t>good governance lead</w:t>
      </w:r>
      <w:r w:rsidR="00470B43" w:rsidRPr="006E388F">
        <w:rPr>
          <w:rFonts w:asciiTheme="majorBidi" w:hAnsiTheme="majorBidi" w:cstheme="majorBidi"/>
          <w:sz w:val="24"/>
          <w:szCs w:val="24"/>
          <w:lang w:val="en-GB"/>
        </w:rPr>
        <w:t xml:space="preserve">s </w:t>
      </w:r>
      <w:r w:rsidR="00324EF6" w:rsidRPr="006E388F">
        <w:rPr>
          <w:rFonts w:asciiTheme="majorBidi" w:hAnsiTheme="majorBidi" w:cstheme="majorBidi"/>
          <w:sz w:val="24"/>
          <w:szCs w:val="24"/>
          <w:lang w:val="en-GB"/>
        </w:rPr>
        <w:t xml:space="preserve">to </w:t>
      </w:r>
      <w:r w:rsidR="00AB4722">
        <w:rPr>
          <w:rFonts w:asciiTheme="majorBidi" w:hAnsiTheme="majorBidi" w:cstheme="majorBidi"/>
          <w:sz w:val="24"/>
          <w:szCs w:val="24"/>
          <w:lang w:val="en-GB"/>
        </w:rPr>
        <w:t xml:space="preserve">a </w:t>
      </w:r>
      <w:r w:rsidR="00324EF6" w:rsidRPr="006E388F">
        <w:rPr>
          <w:rFonts w:asciiTheme="majorBidi" w:hAnsiTheme="majorBidi" w:cstheme="majorBidi"/>
          <w:sz w:val="24"/>
          <w:szCs w:val="24"/>
          <w:lang w:val="en-GB"/>
        </w:rPr>
        <w:t>good performance by taking into consideration the implementation of the Shari’ah governance framework with the effective date of June 2011 in Malay</w:t>
      </w:r>
      <w:r w:rsidR="00470B43" w:rsidRPr="006E388F">
        <w:rPr>
          <w:rFonts w:asciiTheme="majorBidi" w:hAnsiTheme="majorBidi" w:cstheme="majorBidi"/>
          <w:sz w:val="24"/>
          <w:szCs w:val="24"/>
          <w:lang w:val="en-GB"/>
        </w:rPr>
        <w:t xml:space="preserve">sia. </w:t>
      </w:r>
      <w:r w:rsidR="00DB5688" w:rsidRPr="006E388F">
        <w:rPr>
          <w:rFonts w:asciiTheme="majorBidi" w:hAnsiTheme="majorBidi" w:cstheme="majorBidi"/>
          <w:sz w:val="24"/>
          <w:szCs w:val="24"/>
          <w:lang w:val="en-GB"/>
        </w:rPr>
        <w:t>This, to a certain extent will improve</w:t>
      </w:r>
      <w:r w:rsidR="00324EF6" w:rsidRPr="006E388F">
        <w:rPr>
          <w:rFonts w:asciiTheme="majorBidi" w:hAnsiTheme="majorBidi" w:cstheme="majorBidi"/>
          <w:sz w:val="24"/>
          <w:szCs w:val="24"/>
          <w:lang w:val="en-GB"/>
        </w:rPr>
        <w:t xml:space="preserve"> the governance </w:t>
      </w:r>
      <w:r w:rsidR="00470B43" w:rsidRPr="006E388F">
        <w:rPr>
          <w:rFonts w:asciiTheme="majorBidi" w:hAnsiTheme="majorBidi" w:cstheme="majorBidi"/>
          <w:sz w:val="24"/>
          <w:szCs w:val="24"/>
          <w:lang w:val="en-GB"/>
        </w:rPr>
        <w:t xml:space="preserve">requirements of </w:t>
      </w:r>
      <w:r w:rsidR="00324EF6" w:rsidRPr="006E388F">
        <w:rPr>
          <w:rFonts w:asciiTheme="majorBidi" w:hAnsiTheme="majorBidi" w:cstheme="majorBidi"/>
          <w:sz w:val="24"/>
          <w:szCs w:val="24"/>
          <w:lang w:val="en-GB"/>
        </w:rPr>
        <w:t xml:space="preserve">the unique and opaque nature of Islamic banks </w:t>
      </w:r>
      <w:r w:rsidR="00470B43" w:rsidRPr="006E388F">
        <w:rPr>
          <w:rFonts w:asciiTheme="majorBidi" w:hAnsiTheme="majorBidi" w:cstheme="majorBidi"/>
          <w:sz w:val="24"/>
          <w:szCs w:val="24"/>
          <w:lang w:val="en-GB"/>
        </w:rPr>
        <w:t xml:space="preserve">that </w:t>
      </w:r>
      <w:r w:rsidR="00324EF6" w:rsidRPr="006E388F">
        <w:rPr>
          <w:rFonts w:asciiTheme="majorBidi" w:hAnsiTheme="majorBidi" w:cstheme="majorBidi"/>
          <w:sz w:val="24"/>
          <w:szCs w:val="24"/>
          <w:lang w:val="en-GB"/>
        </w:rPr>
        <w:t xml:space="preserve">requires </w:t>
      </w:r>
      <w:r w:rsidR="00AB4722">
        <w:rPr>
          <w:rFonts w:asciiTheme="majorBidi" w:hAnsiTheme="majorBidi" w:cstheme="majorBidi"/>
          <w:sz w:val="24"/>
          <w:szCs w:val="24"/>
          <w:lang w:val="en-GB"/>
        </w:rPr>
        <w:t xml:space="preserve">an </w:t>
      </w:r>
      <w:r w:rsidR="00470B43" w:rsidRPr="006E388F">
        <w:rPr>
          <w:rFonts w:asciiTheme="majorBidi" w:hAnsiTheme="majorBidi" w:cstheme="majorBidi"/>
          <w:sz w:val="24"/>
          <w:szCs w:val="24"/>
          <w:lang w:val="en-GB"/>
        </w:rPr>
        <w:t xml:space="preserve">understanding of </w:t>
      </w:r>
      <w:r w:rsidR="00324EF6" w:rsidRPr="006E388F">
        <w:rPr>
          <w:rFonts w:asciiTheme="majorBidi" w:hAnsiTheme="majorBidi" w:cstheme="majorBidi"/>
          <w:sz w:val="24"/>
          <w:szCs w:val="24"/>
          <w:lang w:val="en-GB"/>
        </w:rPr>
        <w:t xml:space="preserve">the broader issues of </w:t>
      </w:r>
      <w:r w:rsidR="00470B43" w:rsidRPr="006E388F">
        <w:rPr>
          <w:rFonts w:asciiTheme="majorBidi" w:hAnsiTheme="majorBidi" w:cstheme="majorBidi"/>
          <w:sz w:val="24"/>
          <w:szCs w:val="24"/>
          <w:lang w:val="en-GB"/>
        </w:rPr>
        <w:t>r</w:t>
      </w:r>
      <w:r w:rsidR="00324EF6" w:rsidRPr="006E388F">
        <w:rPr>
          <w:rFonts w:asciiTheme="majorBidi" w:hAnsiTheme="majorBidi" w:cstheme="majorBidi"/>
          <w:sz w:val="24"/>
          <w:szCs w:val="24"/>
          <w:lang w:val="en-GB"/>
        </w:rPr>
        <w:t>esponsibility and accountability</w:t>
      </w:r>
      <w:r w:rsidR="00470B43" w:rsidRPr="006E388F">
        <w:rPr>
          <w:rFonts w:asciiTheme="majorBidi" w:hAnsiTheme="majorBidi" w:cstheme="majorBidi"/>
          <w:sz w:val="24"/>
          <w:szCs w:val="24"/>
          <w:lang w:val="en-GB"/>
        </w:rPr>
        <w:t xml:space="preserve"> from the </w:t>
      </w:r>
      <w:r w:rsidR="00DB5688" w:rsidRPr="006E388F">
        <w:rPr>
          <w:rFonts w:asciiTheme="majorBidi" w:hAnsiTheme="majorBidi" w:cstheme="majorBidi"/>
          <w:sz w:val="24"/>
          <w:szCs w:val="24"/>
          <w:lang w:val="en-GB"/>
        </w:rPr>
        <w:t xml:space="preserve">corporate and </w:t>
      </w:r>
      <w:r w:rsidR="00470B43" w:rsidRPr="006E388F">
        <w:rPr>
          <w:rFonts w:asciiTheme="majorBidi" w:hAnsiTheme="majorBidi" w:cstheme="majorBidi"/>
          <w:sz w:val="24"/>
          <w:szCs w:val="24"/>
          <w:lang w:val="en-GB"/>
        </w:rPr>
        <w:t>Shari’ah governance perspective</w:t>
      </w:r>
      <w:r w:rsidR="00324EF6" w:rsidRPr="006E388F">
        <w:rPr>
          <w:rFonts w:asciiTheme="majorBidi" w:hAnsiTheme="majorBidi" w:cstheme="majorBidi"/>
          <w:sz w:val="24"/>
          <w:szCs w:val="24"/>
          <w:lang w:val="en-GB"/>
        </w:rPr>
        <w:t xml:space="preserve">. </w:t>
      </w:r>
    </w:p>
    <w:p w:rsidR="005E4A70" w:rsidRPr="006E388F" w:rsidRDefault="005E4A70" w:rsidP="006E388F">
      <w:pPr>
        <w:spacing w:after="0" w:line="240" w:lineRule="auto"/>
        <w:jc w:val="both"/>
        <w:rPr>
          <w:rFonts w:asciiTheme="majorBidi" w:hAnsiTheme="majorBidi" w:cstheme="majorBidi"/>
          <w:b/>
          <w:bCs/>
          <w:color w:val="0070C0"/>
          <w:sz w:val="24"/>
          <w:szCs w:val="24"/>
          <w:lang w:val="en-GB"/>
        </w:rPr>
      </w:pPr>
    </w:p>
    <w:p w:rsidR="005E4A70" w:rsidRPr="00556A6F" w:rsidRDefault="005E4A70" w:rsidP="006E388F">
      <w:pPr>
        <w:spacing w:after="0" w:line="240" w:lineRule="auto"/>
        <w:jc w:val="both"/>
        <w:rPr>
          <w:rFonts w:asciiTheme="majorBidi" w:hAnsiTheme="majorBidi" w:cstheme="majorBidi"/>
          <w:b/>
          <w:bCs/>
          <w:sz w:val="24"/>
          <w:szCs w:val="24"/>
          <w:lang w:val="en-GB"/>
        </w:rPr>
      </w:pPr>
    </w:p>
    <w:p w:rsidR="00155AF8" w:rsidRPr="00556A6F" w:rsidRDefault="00556A6F" w:rsidP="006E388F">
      <w:pPr>
        <w:pStyle w:val="BodyText"/>
        <w:spacing w:line="240" w:lineRule="auto"/>
        <w:rPr>
          <w:rFonts w:asciiTheme="majorBidi" w:hAnsiTheme="majorBidi" w:cstheme="majorBidi"/>
          <w:b/>
          <w:bCs/>
          <w:lang w:val="en-GB"/>
        </w:rPr>
      </w:pPr>
      <w:r w:rsidRPr="00556A6F">
        <w:rPr>
          <w:rFonts w:asciiTheme="majorBidi" w:hAnsiTheme="majorBidi" w:cstheme="majorBidi"/>
          <w:b/>
          <w:bCs/>
          <w:lang w:val="en-GB"/>
        </w:rPr>
        <w:t>Literature Review</w:t>
      </w:r>
    </w:p>
    <w:p w:rsidR="00B53509" w:rsidRPr="00B53509" w:rsidRDefault="00B53509" w:rsidP="006E388F">
      <w:pPr>
        <w:pStyle w:val="ParaAttribute12"/>
        <w:rPr>
          <w:rFonts w:asciiTheme="majorBidi" w:hAnsiTheme="majorBidi" w:cstheme="majorBidi"/>
          <w:b/>
          <w:bCs/>
          <w:sz w:val="24"/>
          <w:szCs w:val="24"/>
          <w:lang w:val="en-GB"/>
        </w:rPr>
      </w:pPr>
      <w:r>
        <w:rPr>
          <w:rFonts w:asciiTheme="majorBidi" w:hAnsiTheme="majorBidi" w:cstheme="majorBidi"/>
          <w:b/>
          <w:bCs/>
          <w:sz w:val="24"/>
          <w:szCs w:val="24"/>
          <w:lang w:val="en-GB"/>
        </w:rPr>
        <w:t>Corporate Governance</w:t>
      </w:r>
    </w:p>
    <w:p w:rsidR="00117B04" w:rsidRPr="006E388F" w:rsidRDefault="00117B04" w:rsidP="006E388F">
      <w:pPr>
        <w:pStyle w:val="ParaAttribute12"/>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The International Financial Services Board (IFSB) (2006) defines corporate governance “as a set of relationships between a company’s management, its </w:t>
      </w:r>
      <w:r w:rsidR="006E388F">
        <w:rPr>
          <w:rFonts w:asciiTheme="majorBidi" w:hAnsiTheme="majorBidi" w:cstheme="majorBidi"/>
          <w:sz w:val="24"/>
          <w:szCs w:val="24"/>
          <w:lang w:val="en-GB"/>
        </w:rPr>
        <w:t>board of directors (</w:t>
      </w:r>
      <w:r w:rsidRPr="006E388F">
        <w:rPr>
          <w:rFonts w:asciiTheme="majorBidi" w:hAnsiTheme="majorBidi" w:cstheme="majorBidi"/>
          <w:sz w:val="24"/>
          <w:szCs w:val="24"/>
          <w:lang w:val="en-GB"/>
        </w:rPr>
        <w:t>BOD</w:t>
      </w:r>
      <w:r w:rsidR="006E388F">
        <w:rPr>
          <w:rFonts w:asciiTheme="majorBidi" w:hAnsiTheme="majorBidi" w:cstheme="majorBidi"/>
          <w:sz w:val="24"/>
          <w:szCs w:val="24"/>
          <w:lang w:val="en-GB"/>
        </w:rPr>
        <w:t>)</w:t>
      </w:r>
      <w:r w:rsidRPr="006E388F">
        <w:rPr>
          <w:rFonts w:asciiTheme="majorBidi" w:hAnsiTheme="majorBidi" w:cstheme="majorBidi"/>
          <w:sz w:val="24"/>
          <w:szCs w:val="24"/>
          <w:lang w:val="en-GB"/>
        </w:rPr>
        <w:t xml:space="preserve">, its shareholders, and other stakeholders that provide the structure through which the objectives of the company are set; and the means of attaining those objectives and monitoring performance are determined.”  This definition has been adopted from OECD (2000 and revised 2004).    </w:t>
      </w:r>
    </w:p>
    <w:p w:rsidR="00117B04" w:rsidRPr="006E388F" w:rsidRDefault="00117B04" w:rsidP="006E388F">
      <w:pPr>
        <w:pStyle w:val="ParaAttribute12"/>
        <w:ind w:firstLine="720"/>
        <w:rPr>
          <w:rFonts w:asciiTheme="majorBidi" w:hAnsiTheme="majorBidi" w:cstheme="majorBidi"/>
          <w:sz w:val="24"/>
          <w:szCs w:val="24"/>
          <w:lang w:val="en-GB"/>
        </w:rPr>
      </w:pPr>
      <w:r w:rsidRPr="006E388F">
        <w:rPr>
          <w:rFonts w:asciiTheme="majorBidi" w:hAnsiTheme="majorBidi" w:cstheme="majorBidi"/>
          <w:sz w:val="24"/>
          <w:szCs w:val="24"/>
          <w:lang w:val="en-GB"/>
        </w:rPr>
        <w:t xml:space="preserve">In the context of Islamic banks, good corporate governance should encompass “a set of organizational arrangements whereby the actions of the management of IIFS are aligned, as far </w:t>
      </w:r>
      <w:r w:rsidRPr="006E388F">
        <w:rPr>
          <w:rFonts w:asciiTheme="majorBidi" w:hAnsiTheme="majorBidi" w:cstheme="majorBidi"/>
          <w:sz w:val="24"/>
          <w:szCs w:val="24"/>
          <w:lang w:val="en-GB"/>
        </w:rPr>
        <w:lastRenderedPageBreak/>
        <w:t xml:space="preserve">as possible, with the interests of its stakeholders; provision of proper incentives for the organs of governance such as the BOD, Shari’ah board, and management to pursue objectives that are in the interests of the stakeholders and facilitate effective monitoring, thereby encouraging Islamic banks to use resources more efficiently; and compliance with Islamic Shari’ah rules and principles” (IFSB, 2006).  </w:t>
      </w:r>
    </w:p>
    <w:p w:rsidR="00117B04" w:rsidRPr="00165430" w:rsidRDefault="00117B04" w:rsidP="006E388F">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Based on the description as discussed, corporate governance cannot be seen solely as a set of relationships amongst directors, shareholders and other stakeholders in an institution.  An institution should set up its strategic objectives and ensure that the objectives can be achieved, whilst, at the same time, the monitoring mechanism must be in place.  Hence, corporate governance in the context of Islamic banks can be defined as, firstly, a set of relationships among the key players and stakeholders. Secondly, these banks should have clearer strategic objectives of their existence. Thirdly, they should also have a proper monitoring mechanism in terms </w:t>
      </w:r>
      <w:r w:rsidRPr="00165430">
        <w:rPr>
          <w:rFonts w:asciiTheme="majorBidi" w:hAnsiTheme="majorBidi" w:cstheme="majorBidi"/>
          <w:sz w:val="24"/>
          <w:szCs w:val="24"/>
          <w:lang w:val="en-GB"/>
        </w:rPr>
        <w:t xml:space="preserve">of the checks and balances of </w:t>
      </w:r>
      <w:r w:rsidRPr="00165430">
        <w:rPr>
          <w:rFonts w:asciiTheme="majorBidi" w:hAnsiTheme="majorBidi" w:cstheme="majorBidi"/>
          <w:noProof/>
          <w:sz w:val="24"/>
          <w:szCs w:val="24"/>
          <w:lang w:val="en-GB"/>
        </w:rPr>
        <w:t>the</w:t>
      </w:r>
      <w:r w:rsidRPr="00165430">
        <w:rPr>
          <w:rFonts w:asciiTheme="majorBidi" w:hAnsiTheme="majorBidi" w:cstheme="majorBidi"/>
          <w:sz w:val="24"/>
          <w:szCs w:val="24"/>
          <w:lang w:val="en-GB"/>
        </w:rPr>
        <w:t xml:space="preserve"> business operations and activities.</w:t>
      </w:r>
    </w:p>
    <w:p w:rsidR="00165430" w:rsidRPr="00EF0510" w:rsidRDefault="00165430" w:rsidP="00EF0510">
      <w:pPr>
        <w:pStyle w:val="TOC4"/>
      </w:pPr>
      <w:r w:rsidRPr="00EF0510">
        <w:t>Corporate meltdown has created much interest in the role of the board of directors in monitoring and controlling corporate performance. Since the introduction of codes, guidelines, rules, and regulations, it has been proven that the board is a unique and opaque element for ensuring corporate governance is effectively and efficiently implemented in the business institutions. This would absolutely guarantee that institutions are well administered, monitored and controlled by a credible, reputable and competent person. Boards are</w:t>
      </w:r>
      <w:r w:rsidR="00AB4722" w:rsidRPr="00EF0510">
        <w:t xml:space="preserve"> expected to manage and provide</w:t>
      </w:r>
      <w:r w:rsidRPr="00EF0510">
        <w:t xml:space="preserve"> direction of the business and making communication effective (Bakalikwira, Bananuka, Kaawaase, Musimenta and Mukyala, 2017).</w:t>
      </w:r>
    </w:p>
    <w:p w:rsidR="00165430" w:rsidRPr="00165430" w:rsidRDefault="00165430" w:rsidP="00165430">
      <w:pPr>
        <w:rPr>
          <w:lang w:val="en-GB" w:eastAsia="en-MY"/>
        </w:rPr>
      </w:pPr>
    </w:p>
    <w:p w:rsidR="00B53509" w:rsidRPr="00556A6F" w:rsidRDefault="00B53509" w:rsidP="00B53509">
      <w:pPr>
        <w:pStyle w:val="BodyTextFirstIndent"/>
        <w:spacing w:line="240" w:lineRule="auto"/>
        <w:ind w:firstLine="0"/>
        <w:jc w:val="both"/>
        <w:rPr>
          <w:rFonts w:asciiTheme="majorBidi" w:hAnsiTheme="majorBidi" w:cstheme="majorBidi"/>
          <w:b/>
          <w:bCs/>
          <w:sz w:val="24"/>
          <w:szCs w:val="24"/>
          <w:lang w:val="en-GB"/>
        </w:rPr>
      </w:pPr>
      <w:r w:rsidRPr="00556A6F">
        <w:rPr>
          <w:rFonts w:asciiTheme="majorBidi" w:hAnsiTheme="majorBidi" w:cstheme="majorBidi"/>
          <w:b/>
          <w:bCs/>
          <w:sz w:val="24"/>
          <w:szCs w:val="24"/>
          <w:lang w:val="en-GB"/>
        </w:rPr>
        <w:t>Shari’ah Governance</w:t>
      </w:r>
    </w:p>
    <w:p w:rsidR="00DB5688" w:rsidRPr="006E388F" w:rsidRDefault="00DB5688" w:rsidP="006E388F">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At present, in Malaysia, the Central Bank, i.e., Bank Negara Malaysia (BNM), has developed the Shari’ah governance framework for Islamic banks, effective beginning 1</w:t>
      </w:r>
      <w:r w:rsidRPr="006E388F">
        <w:rPr>
          <w:rFonts w:asciiTheme="majorBidi" w:hAnsiTheme="majorBidi" w:cstheme="majorBidi"/>
          <w:sz w:val="24"/>
          <w:szCs w:val="24"/>
          <w:vertAlign w:val="superscript"/>
          <w:lang w:val="en-GB"/>
        </w:rPr>
        <w:t>st</w:t>
      </w:r>
      <w:r w:rsidRPr="006E388F">
        <w:rPr>
          <w:rFonts w:asciiTheme="majorBidi" w:hAnsiTheme="majorBidi" w:cstheme="majorBidi"/>
          <w:sz w:val="24"/>
          <w:szCs w:val="24"/>
          <w:lang w:val="en-GB"/>
        </w:rPr>
        <w:t xml:space="preserve"> January 2011 with the ultimate objective being to enhance the role of the board, the Shari’ah Committee and the management in relation to Shari’ah matters.  Indeed, the Shari’ah Governance Framework was the first guideline on Shari’ah governance matters to be issued and applied in Islamic financial institutions in Malaysia.  </w:t>
      </w:r>
    </w:p>
    <w:p w:rsidR="00DB5688" w:rsidRPr="006E388F" w:rsidRDefault="00DB5688" w:rsidP="006E388F">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The definition of Shari’ah governance in the Shari’ah Governance Framework for Islamic Financial Institutions guideline has been adopted from the definition in the Islamic Financial Services Board (IFSB) (2009). The IFSB (2009) defines the Shari’ah governance system as “a set of institutional and organizational arrangements through which Islamic banks ensure that there is effective independent oversight of Shari’ah compliance over the issuance of relevant Shari’ah pronouncements, dissemination of information and an internal Shari’ah compliance review</w:t>
      </w:r>
      <w:r w:rsidRPr="006E388F">
        <w:rPr>
          <w:rFonts w:asciiTheme="majorBidi" w:hAnsiTheme="majorBidi" w:cstheme="majorBidi"/>
          <w:noProof/>
          <w:sz w:val="24"/>
          <w:szCs w:val="24"/>
          <w:lang w:val="en-GB"/>
        </w:rPr>
        <w:t>.”</w:t>
      </w:r>
      <w:r w:rsidRPr="006E388F">
        <w:rPr>
          <w:rFonts w:asciiTheme="majorBidi" w:hAnsiTheme="majorBidi" w:cstheme="majorBidi"/>
          <w:sz w:val="24"/>
          <w:szCs w:val="24"/>
          <w:lang w:val="en-GB"/>
        </w:rPr>
        <w:t xml:space="preserve">  Besides the corporate governance requirements as prescribed by other codes at the international level and locally, Islamic banks are also required to comply with the Shari’ah governance requirements to ensure Shari’ah compliance.</w:t>
      </w:r>
    </w:p>
    <w:p w:rsidR="00DB5688" w:rsidRPr="006E388F" w:rsidRDefault="00DB5688" w:rsidP="006E388F">
      <w:pPr>
        <w:pStyle w:val="BodyText"/>
        <w:spacing w:line="240" w:lineRule="auto"/>
        <w:ind w:firstLine="720"/>
        <w:rPr>
          <w:rFonts w:asciiTheme="majorBidi" w:hAnsiTheme="majorBidi" w:cstheme="majorBidi"/>
          <w:lang w:val="en-GB"/>
        </w:rPr>
      </w:pPr>
      <w:r w:rsidRPr="006E388F">
        <w:rPr>
          <w:rFonts w:asciiTheme="majorBidi" w:hAnsiTheme="majorBidi" w:cstheme="majorBidi"/>
          <w:lang w:val="en-GB"/>
        </w:rPr>
        <w:t xml:space="preserve">The agency problems in Islamic financial institutions are unique to other financial institutions, and different ways of examining and solving the issues are needed.  As highlighted by </w:t>
      </w:r>
      <w:r w:rsidRPr="006E388F">
        <w:rPr>
          <w:rFonts w:asciiTheme="majorBidi" w:hAnsiTheme="majorBidi" w:cstheme="majorBidi"/>
          <w:lang w:val="en-GB"/>
        </w:rPr>
        <w:fldChar w:fldCharType="begin" w:fldLock="1"/>
      </w:r>
      <w:r w:rsidRPr="006E388F">
        <w:rPr>
          <w:rFonts w:asciiTheme="majorBidi" w:hAnsiTheme="majorBidi" w:cstheme="majorBidi"/>
          <w:lang w:val="en-GB"/>
        </w:rPr>
        <w:instrText>ADDIN CSL_CITATION { "citationItems" : [ { "id" : "ITEM-1", "itemData" : { "DOI" : "10.1108/01409171311315003", "ISSN" : "2040-8269", "author" : [ { "dropping-particle" : "", "family" : "Bukhari", "given" : "Khuram Shahzad", "non-dropping-particle" : "", "parse-names" : false, "suffix" : "" } ], "container-title" : "Management Research Review", "id" : "ITEM-1", "issue" : "4", "issued" : { "date-parts" : [ [ "2013" ] ] }, "page" : "400-416", "title" : "An evaluation of corporate governance practices of Islamic banks versus Islamic bank windows of conventional banks: A case of Pakistan", "type" : "article-journal", "volume" : "36" }, "uris" : [ "http://www.mendeley.com/documents/?uuid=a1e3c567-3850-4077-93ff-9a6d975d154d" ] } ], "mendeley" : { "formattedCitation" : "(Bukhari, 2013)", "manualFormatting" : "Bukhari (2013)", "plainTextFormattedCitation" : "(Bukhari, 2013)", "previouslyFormattedCitation" : "(Bukhari, 2013)" }, "properties" : { "noteIndex" : 0 }, "schema" : "https://github.com/citation-style-language/schema/raw/master/csl-citation.json" }</w:instrText>
      </w:r>
      <w:r w:rsidRPr="006E388F">
        <w:rPr>
          <w:rFonts w:asciiTheme="majorBidi" w:hAnsiTheme="majorBidi" w:cstheme="majorBidi"/>
          <w:lang w:val="en-GB"/>
        </w:rPr>
        <w:fldChar w:fldCharType="separate"/>
      </w:r>
      <w:r w:rsidRPr="006E388F">
        <w:rPr>
          <w:rFonts w:asciiTheme="majorBidi" w:hAnsiTheme="majorBidi" w:cstheme="majorBidi"/>
          <w:lang w:val="en-GB"/>
        </w:rPr>
        <w:t>Bukhari (2013)</w:t>
      </w:r>
      <w:r w:rsidRPr="006E388F">
        <w:rPr>
          <w:rFonts w:asciiTheme="majorBidi" w:hAnsiTheme="majorBidi" w:cstheme="majorBidi"/>
          <w:lang w:val="en-GB"/>
        </w:rPr>
        <w:fldChar w:fldCharType="end"/>
      </w:r>
      <w:r w:rsidRPr="006E388F">
        <w:rPr>
          <w:rFonts w:asciiTheme="majorBidi" w:hAnsiTheme="majorBidi" w:cstheme="majorBidi"/>
          <w:lang w:val="en-GB"/>
        </w:rPr>
        <w:t xml:space="preserve">; </w:t>
      </w:r>
      <w:r w:rsidRPr="006E388F">
        <w:rPr>
          <w:rFonts w:asciiTheme="majorBidi" w:hAnsiTheme="majorBidi" w:cstheme="majorBidi"/>
          <w:lang w:val="en-GB"/>
        </w:rPr>
        <w:fldChar w:fldCharType="begin" w:fldLock="1"/>
      </w:r>
      <w:r w:rsidRPr="006E388F">
        <w:rPr>
          <w:rFonts w:asciiTheme="majorBidi" w:hAnsiTheme="majorBidi" w:cstheme="majorBidi"/>
          <w:lang w:val="en-GB"/>
        </w:rPr>
        <w:instrText>ADDIN CSL_CITATION { "citationItems" : [ { "id" : "ITEM-1", "itemData" : { "DOI" : "10.1108/08288661311299295", "ISSN" : "0828-8666", "author" : [ { "dropping-particle" : "", "family" : "Darmadi", "given" : "Salim", "non-dropping-particle" : "", "parse-names" : false, "suffix" : "" } ], "container-title" : "Humanomics", "id" : "ITEM-1", "issue" : "1", "issued" : { "date-parts" : [ [ "2013" ] ] }, "page" : "4-23", "title" : "Corporate governance disclosure in the annual report: An exploratory study on Indonesian Islamic banks", "type" : "article-journal", "volume" : "29" }, "uris" : [ "http://www.mendeley.com/documents/?uuid=daf8b5bc-54e8-4c64-bd80-c8466199d2ea" ] } ], "mendeley" : { "formattedCitation" : "(Darmadi, 2013)", "manualFormatting" : "Darmadi, (2013)", "plainTextFormattedCitation" : "(Darmadi, 2013)", "previouslyFormattedCitation" : "(Darmadi, 2013)" }, "properties" : { "noteIndex" : 0 }, "schema" : "https://github.com/citation-style-language/schema/raw/master/csl-citation.json" }</w:instrText>
      </w:r>
      <w:r w:rsidRPr="006E388F">
        <w:rPr>
          <w:rFonts w:asciiTheme="majorBidi" w:hAnsiTheme="majorBidi" w:cstheme="majorBidi"/>
          <w:lang w:val="en-GB"/>
        </w:rPr>
        <w:fldChar w:fldCharType="separate"/>
      </w:r>
      <w:r w:rsidRPr="006E388F">
        <w:rPr>
          <w:rFonts w:asciiTheme="majorBidi" w:hAnsiTheme="majorBidi" w:cstheme="majorBidi"/>
          <w:lang w:val="en-GB"/>
        </w:rPr>
        <w:t>Darmadi (2013)</w:t>
      </w:r>
      <w:r w:rsidRPr="006E388F">
        <w:rPr>
          <w:rFonts w:asciiTheme="majorBidi" w:hAnsiTheme="majorBidi" w:cstheme="majorBidi"/>
          <w:lang w:val="en-GB"/>
        </w:rPr>
        <w:fldChar w:fldCharType="end"/>
      </w:r>
      <w:r w:rsidRPr="006E388F">
        <w:rPr>
          <w:rFonts w:asciiTheme="majorBidi" w:hAnsiTheme="majorBidi" w:cstheme="majorBidi"/>
          <w:lang w:val="en-GB"/>
        </w:rPr>
        <w:t xml:space="preserve">; Safieddine (2009); Grais and Pellegrini (2006); Archer et al. (1998), and Sarker (1999), the need to comply with Shari’ah rules and regulations makes a huge difference between Islamic finance and other modes of financing. </w:t>
      </w:r>
    </w:p>
    <w:p w:rsidR="006C4459" w:rsidRPr="006E388F" w:rsidRDefault="00155AF8" w:rsidP="006E388F">
      <w:pPr>
        <w:pStyle w:val="BodyText"/>
        <w:spacing w:line="240" w:lineRule="auto"/>
        <w:ind w:firstLine="720"/>
        <w:rPr>
          <w:rFonts w:asciiTheme="majorBidi" w:hAnsiTheme="majorBidi" w:cstheme="majorBidi"/>
          <w:lang w:val="en-GB"/>
        </w:rPr>
      </w:pPr>
      <w:r w:rsidRPr="006E388F">
        <w:rPr>
          <w:rFonts w:asciiTheme="majorBidi" w:hAnsiTheme="majorBidi" w:cstheme="majorBidi"/>
          <w:lang w:val="en-GB"/>
        </w:rPr>
        <w:t xml:space="preserve">Shari’ah governance </w:t>
      </w:r>
      <w:r w:rsidR="006C4459" w:rsidRPr="006E388F">
        <w:rPr>
          <w:rFonts w:asciiTheme="majorBidi" w:hAnsiTheme="majorBidi" w:cstheme="majorBidi"/>
          <w:lang w:val="en-GB"/>
        </w:rPr>
        <w:t>s</w:t>
      </w:r>
      <w:r w:rsidR="00367D8A" w:rsidRPr="006E388F">
        <w:rPr>
          <w:rFonts w:asciiTheme="majorBidi" w:hAnsiTheme="majorBidi" w:cstheme="majorBidi"/>
          <w:lang w:val="en-GB"/>
        </w:rPr>
        <w:t>e</w:t>
      </w:r>
      <w:r w:rsidR="00AB4722">
        <w:rPr>
          <w:rFonts w:asciiTheme="majorBidi" w:hAnsiTheme="majorBidi" w:cstheme="majorBidi"/>
          <w:lang w:val="en-GB"/>
        </w:rPr>
        <w:t>ts out the expectations of the b</w:t>
      </w:r>
      <w:r w:rsidR="00367D8A" w:rsidRPr="006E388F">
        <w:rPr>
          <w:rFonts w:asciiTheme="majorBidi" w:hAnsiTheme="majorBidi" w:cstheme="majorBidi"/>
          <w:lang w:val="en-GB"/>
        </w:rPr>
        <w:t xml:space="preserve">ank concerning an IFI’s Shari’ah governance structure, </w:t>
      </w:r>
      <w:r w:rsidR="00367D8A" w:rsidRPr="006E388F">
        <w:rPr>
          <w:rFonts w:asciiTheme="majorBidi" w:hAnsiTheme="majorBidi" w:cstheme="majorBidi"/>
          <w:noProof/>
          <w:lang w:val="en-GB"/>
        </w:rPr>
        <w:t>processes</w:t>
      </w:r>
      <w:r w:rsidR="00367D8A" w:rsidRPr="006E388F">
        <w:rPr>
          <w:rFonts w:asciiTheme="majorBidi" w:hAnsiTheme="majorBidi" w:cstheme="majorBidi"/>
          <w:lang w:val="en-GB"/>
        </w:rPr>
        <w:t xml:space="preserve"> and arrangements to ensure that all its operations and business activities are in accordance with Shari’ah</w:t>
      </w:r>
      <w:r w:rsidR="00470B43" w:rsidRPr="006E388F">
        <w:rPr>
          <w:rFonts w:asciiTheme="majorBidi" w:hAnsiTheme="majorBidi" w:cstheme="majorBidi"/>
          <w:lang w:val="en-GB"/>
        </w:rPr>
        <w:t xml:space="preserve">. Shariah governance also </w:t>
      </w:r>
      <w:r w:rsidR="006C4459" w:rsidRPr="006E388F">
        <w:rPr>
          <w:rFonts w:asciiTheme="majorBidi" w:hAnsiTheme="majorBidi" w:cstheme="majorBidi"/>
          <w:lang w:val="en-GB"/>
        </w:rPr>
        <w:t>p</w:t>
      </w:r>
      <w:r w:rsidR="00367D8A" w:rsidRPr="006E388F">
        <w:rPr>
          <w:rFonts w:asciiTheme="majorBidi" w:hAnsiTheme="majorBidi" w:cstheme="majorBidi"/>
          <w:lang w:val="en-GB"/>
        </w:rPr>
        <w:t xml:space="preserve">rovides comprehensive guidance to the board, Shari’ah Committee and management of the </w:t>
      </w:r>
      <w:r w:rsidR="00367D8A" w:rsidRPr="006E388F">
        <w:rPr>
          <w:rFonts w:asciiTheme="majorBidi" w:hAnsiTheme="majorBidi" w:cstheme="majorBidi"/>
          <w:noProof/>
          <w:lang w:val="en-GB"/>
        </w:rPr>
        <w:t>IFI</w:t>
      </w:r>
      <w:r w:rsidR="00367D8A" w:rsidRPr="006E388F">
        <w:rPr>
          <w:rFonts w:asciiTheme="majorBidi" w:hAnsiTheme="majorBidi" w:cstheme="majorBidi"/>
          <w:lang w:val="en-GB"/>
        </w:rPr>
        <w:t xml:space="preserve"> in discharging its duties </w:t>
      </w:r>
      <w:r w:rsidR="00367D8A" w:rsidRPr="006E388F">
        <w:rPr>
          <w:rFonts w:asciiTheme="majorBidi" w:hAnsiTheme="majorBidi" w:cstheme="majorBidi"/>
          <w:lang w:val="en-GB"/>
        </w:rPr>
        <w:lastRenderedPageBreak/>
        <w:t>in matters relating to Shari’ah</w:t>
      </w:r>
      <w:r w:rsidR="00470B43" w:rsidRPr="006E388F">
        <w:rPr>
          <w:rFonts w:asciiTheme="majorBidi" w:hAnsiTheme="majorBidi" w:cstheme="majorBidi"/>
          <w:lang w:val="en-GB"/>
        </w:rPr>
        <w:t>. The Shari’ah governance mechanisms</w:t>
      </w:r>
      <w:r w:rsidR="006C4459" w:rsidRPr="006E388F">
        <w:rPr>
          <w:rFonts w:asciiTheme="majorBidi" w:hAnsiTheme="majorBidi" w:cstheme="majorBidi"/>
          <w:lang w:val="en-GB"/>
        </w:rPr>
        <w:t xml:space="preserve"> o</w:t>
      </w:r>
      <w:r w:rsidR="00367D8A" w:rsidRPr="006E388F">
        <w:rPr>
          <w:rFonts w:asciiTheme="majorBidi" w:hAnsiTheme="majorBidi" w:cstheme="majorBidi"/>
          <w:noProof/>
          <w:lang w:val="en-GB"/>
        </w:rPr>
        <w:t>utline</w:t>
      </w:r>
      <w:r w:rsidR="00A64105" w:rsidRPr="006E388F">
        <w:rPr>
          <w:rFonts w:asciiTheme="majorBidi" w:hAnsiTheme="majorBidi" w:cstheme="majorBidi"/>
          <w:noProof/>
          <w:lang w:val="en-GB"/>
        </w:rPr>
        <w:t>d</w:t>
      </w:r>
      <w:r w:rsidR="00367D8A" w:rsidRPr="006E388F">
        <w:rPr>
          <w:rFonts w:asciiTheme="majorBidi" w:hAnsiTheme="majorBidi" w:cstheme="majorBidi"/>
          <w:noProof/>
          <w:lang w:val="en-GB"/>
        </w:rPr>
        <w:t xml:space="preserve"> </w:t>
      </w:r>
      <w:r w:rsidR="00FB1FE6" w:rsidRPr="006E388F">
        <w:rPr>
          <w:rFonts w:asciiTheme="majorBidi" w:hAnsiTheme="majorBidi" w:cstheme="majorBidi"/>
          <w:noProof/>
          <w:lang w:val="en-GB"/>
        </w:rPr>
        <w:t>four important support</w:t>
      </w:r>
      <w:r w:rsidR="00A64105" w:rsidRPr="006E388F">
        <w:rPr>
          <w:rFonts w:asciiTheme="majorBidi" w:hAnsiTheme="majorBidi" w:cstheme="majorBidi"/>
          <w:noProof/>
          <w:lang w:val="en-GB"/>
        </w:rPr>
        <w:t xml:space="preserve">ive </w:t>
      </w:r>
      <w:r w:rsidR="00367D8A" w:rsidRPr="006E388F">
        <w:rPr>
          <w:rFonts w:asciiTheme="majorBidi" w:hAnsiTheme="majorBidi" w:cstheme="majorBidi"/>
          <w:noProof/>
          <w:lang w:val="en-GB"/>
        </w:rPr>
        <w:t xml:space="preserve">functions </w:t>
      </w:r>
      <w:r w:rsidR="00A64105" w:rsidRPr="006E388F">
        <w:rPr>
          <w:rFonts w:asciiTheme="majorBidi" w:hAnsiTheme="majorBidi" w:cstheme="majorBidi"/>
          <w:noProof/>
          <w:lang w:val="en-GB"/>
        </w:rPr>
        <w:t xml:space="preserve">of </w:t>
      </w:r>
      <w:r w:rsidR="00367D8A" w:rsidRPr="006E388F">
        <w:rPr>
          <w:rFonts w:asciiTheme="majorBidi" w:hAnsiTheme="majorBidi" w:cstheme="majorBidi"/>
          <w:noProof/>
          <w:lang w:val="en-GB"/>
        </w:rPr>
        <w:t>Shari’ah review, Shari’ah audit, Shari’ah risk management and Shari’ah research</w:t>
      </w:r>
      <w:r w:rsidR="00367D8A" w:rsidRPr="006E388F">
        <w:rPr>
          <w:rFonts w:asciiTheme="majorBidi" w:hAnsiTheme="majorBidi" w:cstheme="majorBidi"/>
          <w:lang w:val="en-GB"/>
        </w:rPr>
        <w:t xml:space="preserve"> </w:t>
      </w:r>
      <w:r w:rsidR="006C4459" w:rsidRPr="006E388F">
        <w:rPr>
          <w:rFonts w:asciiTheme="majorBidi" w:hAnsiTheme="majorBidi" w:cstheme="majorBidi"/>
          <w:lang w:val="en-GB"/>
        </w:rPr>
        <w:t xml:space="preserve">(Bank Negara Malaysia, 2011). </w:t>
      </w:r>
      <w:r w:rsidR="00A64105" w:rsidRPr="006E388F">
        <w:rPr>
          <w:rFonts w:asciiTheme="majorBidi" w:hAnsiTheme="majorBidi" w:cstheme="majorBidi"/>
          <w:lang w:val="en-GB"/>
        </w:rPr>
        <w:t>In theory, r</w:t>
      </w:r>
      <w:r w:rsidR="006C4459" w:rsidRPr="006E388F">
        <w:rPr>
          <w:rFonts w:asciiTheme="majorBidi" w:hAnsiTheme="majorBidi" w:cstheme="majorBidi"/>
          <w:lang w:val="en-GB"/>
        </w:rPr>
        <w:t xml:space="preserve">obust </w:t>
      </w:r>
      <w:r w:rsidR="00367D8A" w:rsidRPr="006E388F">
        <w:rPr>
          <w:rFonts w:asciiTheme="majorBidi" w:hAnsiTheme="majorBidi" w:cstheme="majorBidi"/>
          <w:lang w:val="en-GB"/>
        </w:rPr>
        <w:t xml:space="preserve">Shari’ah </w:t>
      </w:r>
      <w:r w:rsidR="006C4459" w:rsidRPr="006E388F">
        <w:rPr>
          <w:rFonts w:asciiTheme="majorBidi" w:hAnsiTheme="majorBidi" w:cstheme="majorBidi"/>
          <w:lang w:val="en-GB"/>
        </w:rPr>
        <w:t xml:space="preserve">governance mechanisms </w:t>
      </w:r>
      <w:r w:rsidR="00367D8A" w:rsidRPr="006E388F">
        <w:rPr>
          <w:rFonts w:asciiTheme="majorBidi" w:hAnsiTheme="majorBidi" w:cstheme="majorBidi"/>
          <w:lang w:val="en-GB"/>
        </w:rPr>
        <w:t xml:space="preserve">would enhance the credibility of Islamic finance operations and boost general public trust and the confidence of the financial markets. </w:t>
      </w:r>
    </w:p>
    <w:p w:rsidR="004B30D1" w:rsidRDefault="004B30D1" w:rsidP="006E388F">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Before the implementation of the Shari’ah governance framework in 2011 in Malaysia, the </w:t>
      </w:r>
      <w:r w:rsidR="006E388F">
        <w:rPr>
          <w:rFonts w:asciiTheme="majorBidi" w:hAnsiTheme="majorBidi" w:cstheme="majorBidi"/>
          <w:sz w:val="24"/>
          <w:szCs w:val="24"/>
          <w:lang w:val="en-GB"/>
        </w:rPr>
        <w:t>Accounting and Auditing Standards for Islamic Financial Institutions (</w:t>
      </w:r>
      <w:r w:rsidRPr="006E388F">
        <w:rPr>
          <w:rFonts w:asciiTheme="majorBidi" w:hAnsiTheme="majorBidi" w:cstheme="majorBidi"/>
          <w:sz w:val="24"/>
          <w:szCs w:val="24"/>
          <w:lang w:val="en-GB"/>
        </w:rPr>
        <w:t>AAOIFI</w:t>
      </w:r>
      <w:r w:rsidR="006E388F">
        <w:rPr>
          <w:rFonts w:asciiTheme="majorBidi" w:hAnsiTheme="majorBidi" w:cstheme="majorBidi"/>
          <w:sz w:val="24"/>
          <w:szCs w:val="24"/>
          <w:lang w:val="en-GB"/>
        </w:rPr>
        <w:t>, 2008)</w:t>
      </w:r>
      <w:r w:rsidRPr="006E388F">
        <w:rPr>
          <w:rFonts w:asciiTheme="majorBidi" w:hAnsiTheme="majorBidi" w:cstheme="majorBidi"/>
          <w:sz w:val="24"/>
          <w:szCs w:val="24"/>
          <w:lang w:val="en-GB"/>
        </w:rPr>
        <w:t xml:space="preserve"> governance standard for Islamic banks (GSIB No.1 and No.2) defines a Shari’ah supervisory board as an independent body of specialized jurists in Fiqh al-Mu’amalat (Islamic commercial jurisprudence). However, the Shari’ah supervisory board may include a member other than those specialized in Fiqh al-Mu’amalat but who should be an expert in the field of Islamic financial institutions and with knowledge of Fiqh al-Mu’a</w:t>
      </w:r>
      <w:r w:rsidR="006E388F">
        <w:rPr>
          <w:rFonts w:asciiTheme="majorBidi" w:hAnsiTheme="majorBidi" w:cstheme="majorBidi"/>
          <w:sz w:val="24"/>
          <w:szCs w:val="24"/>
          <w:lang w:val="en-GB"/>
        </w:rPr>
        <w:t>malat. The AAOIFI (1999 and 2005</w:t>
      </w:r>
      <w:r w:rsidRPr="006E388F">
        <w:rPr>
          <w:rFonts w:asciiTheme="majorBidi" w:hAnsiTheme="majorBidi" w:cstheme="majorBidi"/>
          <w:sz w:val="24"/>
          <w:szCs w:val="24"/>
          <w:lang w:val="en-GB"/>
        </w:rPr>
        <w:t xml:space="preserve">) standard also specified a minimum number of three Shari’ah advisors on the board for particular Islamic banks. In addition, the IFSB (2005 and 2006) has stated that an appropriate mechanism must be created to ensure Shari’ah compliance in Islamic bank business operations, </w:t>
      </w:r>
      <w:r w:rsidRPr="006E388F">
        <w:rPr>
          <w:rFonts w:asciiTheme="majorBidi" w:hAnsiTheme="majorBidi" w:cstheme="majorBidi"/>
          <w:noProof/>
          <w:sz w:val="24"/>
          <w:szCs w:val="24"/>
          <w:lang w:val="en-GB"/>
        </w:rPr>
        <w:t>processes,</w:t>
      </w:r>
      <w:r w:rsidRPr="006E388F">
        <w:rPr>
          <w:rFonts w:asciiTheme="majorBidi" w:hAnsiTheme="majorBidi" w:cstheme="majorBidi"/>
          <w:sz w:val="24"/>
          <w:szCs w:val="24"/>
          <w:lang w:val="en-GB"/>
        </w:rPr>
        <w:t xml:space="preserve"> and activities. </w:t>
      </w:r>
      <w:r w:rsidRPr="006E388F">
        <w:rPr>
          <w:rFonts w:asciiTheme="majorBidi" w:hAnsiTheme="majorBidi" w:cstheme="majorBidi"/>
          <w:noProof/>
          <w:sz w:val="24"/>
          <w:szCs w:val="24"/>
          <w:lang w:val="en-GB"/>
        </w:rPr>
        <w:t xml:space="preserve">Thus, </w:t>
      </w:r>
      <w:r w:rsidRPr="006E388F">
        <w:rPr>
          <w:rFonts w:asciiTheme="majorBidi" w:hAnsiTheme="majorBidi" w:cstheme="majorBidi"/>
          <w:sz w:val="24"/>
          <w:szCs w:val="24"/>
          <w:lang w:val="en-GB"/>
        </w:rPr>
        <w:t>an adequate system may include the Shari’ah board.</w:t>
      </w:r>
    </w:p>
    <w:p w:rsidR="003E1699" w:rsidRDefault="003E1699" w:rsidP="00B53509">
      <w:pPr>
        <w:pStyle w:val="BodyTextFirstIndent"/>
        <w:spacing w:line="240" w:lineRule="auto"/>
        <w:ind w:firstLine="0"/>
        <w:jc w:val="both"/>
        <w:rPr>
          <w:rFonts w:asciiTheme="majorBidi" w:hAnsiTheme="majorBidi" w:cstheme="majorBidi"/>
          <w:b/>
          <w:bCs/>
          <w:sz w:val="24"/>
          <w:szCs w:val="24"/>
          <w:lang w:val="en-GB"/>
        </w:rPr>
      </w:pPr>
    </w:p>
    <w:p w:rsidR="00B53509" w:rsidRPr="00556A6F" w:rsidRDefault="00B53509" w:rsidP="00B53509">
      <w:pPr>
        <w:pStyle w:val="BodyTextFirstIndent"/>
        <w:spacing w:line="240" w:lineRule="auto"/>
        <w:ind w:firstLine="0"/>
        <w:jc w:val="both"/>
        <w:rPr>
          <w:rFonts w:asciiTheme="majorBidi" w:hAnsiTheme="majorBidi" w:cstheme="majorBidi"/>
          <w:b/>
          <w:bCs/>
          <w:sz w:val="24"/>
          <w:szCs w:val="24"/>
          <w:lang w:val="en-GB"/>
        </w:rPr>
      </w:pPr>
      <w:r w:rsidRPr="00556A6F">
        <w:rPr>
          <w:rFonts w:asciiTheme="majorBidi" w:hAnsiTheme="majorBidi" w:cstheme="majorBidi"/>
          <w:b/>
          <w:bCs/>
          <w:sz w:val="24"/>
          <w:szCs w:val="24"/>
          <w:lang w:val="en-GB"/>
        </w:rPr>
        <w:t>Performance</w:t>
      </w:r>
    </w:p>
    <w:p w:rsidR="006C4459" w:rsidRPr="006E388F" w:rsidRDefault="006C4459" w:rsidP="006E388F">
      <w:pPr>
        <w:pStyle w:val="BodyText"/>
        <w:spacing w:line="240" w:lineRule="auto"/>
        <w:ind w:firstLine="720"/>
        <w:rPr>
          <w:rFonts w:asciiTheme="majorBidi" w:hAnsiTheme="majorBidi" w:cstheme="majorBidi"/>
          <w:lang w:val="en-GB"/>
        </w:rPr>
      </w:pPr>
      <w:r w:rsidRPr="006E388F">
        <w:rPr>
          <w:rFonts w:asciiTheme="majorBidi" w:hAnsiTheme="majorBidi" w:cstheme="majorBidi"/>
          <w:lang w:val="en-GB"/>
        </w:rPr>
        <w:t xml:space="preserve">Islamic banks </w:t>
      </w:r>
      <w:r w:rsidR="00367D8A" w:rsidRPr="006E388F">
        <w:rPr>
          <w:rFonts w:asciiTheme="majorBidi" w:hAnsiTheme="majorBidi" w:cstheme="majorBidi"/>
          <w:lang w:val="en-GB"/>
        </w:rPr>
        <w:t>are accountable not only to the shareholders, depositors and other stakeholders, i.e., de</w:t>
      </w:r>
      <w:r w:rsidR="00AB4722">
        <w:rPr>
          <w:rFonts w:asciiTheme="majorBidi" w:hAnsiTheme="majorBidi" w:cstheme="majorBidi"/>
          <w:lang w:val="en-GB"/>
        </w:rPr>
        <w:t>positors and investment account</w:t>
      </w:r>
      <w:r w:rsidR="00367D8A" w:rsidRPr="006E388F">
        <w:rPr>
          <w:rFonts w:asciiTheme="majorBidi" w:hAnsiTheme="majorBidi" w:cstheme="majorBidi"/>
          <w:noProof/>
          <w:lang w:val="en-GB"/>
        </w:rPr>
        <w:t>holders,</w:t>
      </w:r>
      <w:r w:rsidR="00367D8A" w:rsidRPr="006E388F">
        <w:rPr>
          <w:rFonts w:asciiTheme="majorBidi" w:hAnsiTheme="majorBidi" w:cstheme="majorBidi"/>
          <w:lang w:val="en-GB"/>
        </w:rPr>
        <w:t xml:space="preserve"> but also </w:t>
      </w:r>
      <w:r w:rsidRPr="006E388F">
        <w:rPr>
          <w:rFonts w:asciiTheme="majorBidi" w:hAnsiTheme="majorBidi" w:cstheme="majorBidi"/>
          <w:lang w:val="en-GB"/>
        </w:rPr>
        <w:t xml:space="preserve">ultimately </w:t>
      </w:r>
      <w:r w:rsidR="00367D8A" w:rsidRPr="006E388F">
        <w:rPr>
          <w:rFonts w:asciiTheme="majorBidi" w:hAnsiTheme="majorBidi" w:cstheme="majorBidi"/>
          <w:lang w:val="en-GB"/>
        </w:rPr>
        <w:t xml:space="preserve">to Allah s.w.t. There have been numerous studies on Islamic banks and their performance, but, through the review of the literature, not many studies have been conducted that assess the impact of Shari’ah governance </w:t>
      </w:r>
      <w:r w:rsidRPr="006E388F">
        <w:rPr>
          <w:rFonts w:asciiTheme="majorBidi" w:hAnsiTheme="majorBidi" w:cstheme="majorBidi"/>
          <w:lang w:val="en-GB"/>
        </w:rPr>
        <w:t xml:space="preserve">mechanism </w:t>
      </w:r>
      <w:r w:rsidR="00367D8A" w:rsidRPr="006E388F">
        <w:rPr>
          <w:rFonts w:asciiTheme="majorBidi" w:hAnsiTheme="majorBidi" w:cstheme="majorBidi"/>
          <w:lang w:val="en-GB"/>
        </w:rPr>
        <w:t>on Islamic banks’ performance.</w:t>
      </w:r>
      <w:r w:rsidRPr="006E388F">
        <w:rPr>
          <w:rFonts w:asciiTheme="majorBidi" w:hAnsiTheme="majorBidi" w:cstheme="majorBidi"/>
          <w:lang w:val="en-GB"/>
        </w:rPr>
        <w:t xml:space="preserve"> M</w:t>
      </w:r>
      <w:r w:rsidR="00367D8A" w:rsidRPr="006E388F">
        <w:rPr>
          <w:rFonts w:asciiTheme="majorBidi" w:hAnsiTheme="majorBidi" w:cstheme="majorBidi"/>
          <w:lang w:val="en-GB"/>
        </w:rPr>
        <w:t>ajority of the studies on Islamic banks have been on corporate governance, such as Adam and Mehran (2012), As-Saidi and Al-Shammari (2012), Zagarchev and Goa (2015), Pathan and Faff (2013), and</w:t>
      </w:r>
      <w:r w:rsidR="00367D8A" w:rsidRPr="006E388F">
        <w:rPr>
          <w:rFonts w:asciiTheme="majorBidi" w:hAnsiTheme="majorBidi" w:cstheme="majorBidi"/>
          <w:lang w:val="en-GB"/>
        </w:rPr>
        <w:fldChar w:fldCharType="begin" w:fldLock="1"/>
      </w:r>
      <w:r w:rsidR="00367D8A" w:rsidRPr="006E388F">
        <w:rPr>
          <w:rFonts w:asciiTheme="majorBidi" w:hAnsiTheme="majorBidi" w:cstheme="majorBidi"/>
          <w:lang w:val="en-GB"/>
        </w:rPr>
        <w:instrText>ADDIN CSL_CITATION { "citationItems" : [ { "id" : "ITEM-1", "itemData" : { "DOI" : "10.1108/08288661311299312", "ISSN" : "0828-8666", "author" : [ { "dropping-particle" : "", "family" : "Wasiuzzaman", "given" : "Shaista", "non-dropping-particle" : "", "parse-names" : false, "suffix" : "" }, { "dropping-particle" : "", "family" : "Gunasegavan", "given" : "Umadevi Nair", "non-dropping-particle" : "", "parse-names" : false, "suffix" : "" } ], "container-title" : "Journal of Humanomics", "id" : "ITEM-1", "issue" : "1", "issued" : { "date-parts" : [ [ "2013" ] ] }, "note" : "explanation on data analysis very good.***", "page" : "43-60", "title" : "Comparative study of the performance of Islamic and conventional banks: The case of Malaysia", "type" : "article-journal", "volume" : "29" }, "uris" : [ "http://www.mendeley.com/documents/?uuid=7a8cef12-a854-493b-876e-e9504ce48fbd" ] } ], "mendeley" : { "formattedCitation" : "(Wasiuzzaman &amp; Gunasegavan, 2013)", "manualFormatting" : " Wasiuzzaman &amp; Gunasegavan (2013)", "plainTextFormattedCitation" : "(Wasiuzzaman &amp; Gunasegavan, 2013)", "previouslyFormattedCitation" : "(Wasiuzzaman &amp; Gunasegavan, 2013)" }, "properties" : { "noteIndex" : 0 }, "schema" : "https://github.com/citation-style-language/schema/raw/master/csl-citation.json" }</w:instrText>
      </w:r>
      <w:r w:rsidR="00367D8A" w:rsidRPr="006E388F">
        <w:rPr>
          <w:rFonts w:asciiTheme="majorBidi" w:hAnsiTheme="majorBidi" w:cstheme="majorBidi"/>
          <w:lang w:val="en-GB"/>
        </w:rPr>
        <w:fldChar w:fldCharType="separate"/>
      </w:r>
      <w:r w:rsidR="00367D8A" w:rsidRPr="006E388F">
        <w:rPr>
          <w:rFonts w:asciiTheme="majorBidi" w:hAnsiTheme="majorBidi" w:cstheme="majorBidi"/>
          <w:lang w:val="en-GB"/>
        </w:rPr>
        <w:t xml:space="preserve"> Wasiuzzaman and Gunasegavan (2013)</w:t>
      </w:r>
      <w:r w:rsidR="00367D8A" w:rsidRPr="006E388F">
        <w:rPr>
          <w:rFonts w:asciiTheme="majorBidi" w:hAnsiTheme="majorBidi" w:cstheme="majorBidi"/>
          <w:lang w:val="en-GB"/>
        </w:rPr>
        <w:fldChar w:fldCharType="end"/>
      </w:r>
      <w:r w:rsidR="00367D8A" w:rsidRPr="006E388F">
        <w:rPr>
          <w:rFonts w:asciiTheme="majorBidi" w:hAnsiTheme="majorBidi" w:cstheme="majorBidi"/>
          <w:lang w:val="en-GB"/>
        </w:rPr>
        <w:t xml:space="preserve">. </w:t>
      </w:r>
    </w:p>
    <w:p w:rsidR="00367D8A" w:rsidRPr="006E388F" w:rsidRDefault="00367D8A" w:rsidP="00CB5853">
      <w:pPr>
        <w:pStyle w:val="BodyText"/>
        <w:spacing w:line="240" w:lineRule="auto"/>
        <w:ind w:firstLine="720"/>
        <w:rPr>
          <w:rFonts w:asciiTheme="majorBidi" w:hAnsiTheme="majorBidi" w:cstheme="majorBidi"/>
          <w:lang w:val="en-GB"/>
        </w:rPr>
      </w:pPr>
      <w:r w:rsidRPr="006E388F">
        <w:rPr>
          <w:rFonts w:asciiTheme="majorBidi" w:hAnsiTheme="majorBidi" w:cstheme="majorBidi"/>
          <w:lang w:val="en-GB"/>
        </w:rPr>
        <w:t xml:space="preserve">There have been limited studies that use Shari’ah governance in Islamic banks as a variable for interpreting the performance of Islamic banks </w:t>
      </w:r>
      <w:r w:rsidRPr="006E388F">
        <w:rPr>
          <w:rFonts w:asciiTheme="majorBidi" w:hAnsiTheme="majorBidi" w:cstheme="majorBidi"/>
          <w:noProof/>
          <w:lang w:val="en-GB"/>
        </w:rPr>
        <w:t>except for</w:t>
      </w:r>
      <w:r w:rsidRPr="006E388F">
        <w:rPr>
          <w:rFonts w:asciiTheme="majorBidi" w:hAnsiTheme="majorBidi" w:cstheme="majorBidi"/>
          <w:lang w:val="en-GB"/>
        </w:rPr>
        <w:t xml:space="preserve"> the study of </w:t>
      </w:r>
      <w:r w:rsidRPr="006E388F">
        <w:rPr>
          <w:rFonts w:asciiTheme="majorBidi" w:hAnsiTheme="majorBidi" w:cstheme="majorBidi"/>
          <w:lang w:val="en-GB"/>
        </w:rPr>
        <w:fldChar w:fldCharType="begin" w:fldLock="1"/>
      </w:r>
      <w:r w:rsidRPr="006E388F">
        <w:rPr>
          <w:rFonts w:asciiTheme="majorBidi" w:hAnsiTheme="majorBidi" w:cstheme="majorBidi"/>
          <w:lang w:val="en-GB"/>
        </w:rPr>
        <w:instrText>ADDIN CSL_CITATION { "citationItems" : [ { "id" : "ITEM-1", "itemData" : { "DOI" : "10.1016/j.jbankfin.2015.04.030", "ISBN" : "0378-4266", "ISSN" : "03784266", "abstract" : "The performance and accountability of boards of directors and effectiveness of governance mechanisms continue to be a matter of concern. Focusing on differences between conventional banks and Islamic banks, we examine the effect of (i) Shari\u2019ah supervision boards, (ii) board structure and (iii) CEO-power on performance during the period 2005\u20132011. We find Shari\u2019ah supervision boards positively impact on Islamic banks\u2019 performance when they perform a supervisory role, but the impact is negligible when they have only an advisory role. The effect of board structure (board size and board independence) and CEO power (CEO-chair duality and internally recruited CEO) on the performance of Islamic banks is overall negative. Our findings provide support for the positive contribution of Shari\u2019ah supervision boards but also emphasize the need for enforcement and regulatory mechanism for them to be more effective.", "author" : [ { "dropping-particle" : "", "family" : "Mollah", "given" : "Sabur", "non-dropping-particle" : "", "parse-names" : false, "suffix" : "" }, { "dropping-particle" : "", "family" : "Zaman", "given" : "Mahbub", "non-dropping-particle" : "", "parse-names" : false, "suffix" : "" } ], "container-title" : "Journal of Banking &amp; Finance", "id" : "ITEM-1", "issued" : { "date-parts" : [ [ "2015" ] ] }, "page" : "418-435", "publisher" : "Elsevier B.V.", "title" : "Shari\u2019ah supervision, corporate governance and performance: Conventional vs. Islamic banks", "type" : "article-journal", "volume" : "58" }, "uris" : [ "http://www.mendeley.com/documents/?uuid=14c35ee0-c637-45d9-a1bc-3fd1abc1b894" ] } ], "mendeley" : { "formattedCitation" : "(Mollah &amp; Zaman, 2015)", "plainTextFormattedCitation" : "(Mollah &amp; Zaman, 2015)", "previouslyFormattedCitation" : "(Mollah &amp; Zaman, 2015)" }, "properties" : { "noteIndex" : 0 }, "schema" : "https://github.com/citation-style-language/schema/raw/master/csl-citation.json" }</w:instrText>
      </w:r>
      <w:r w:rsidRPr="006E388F">
        <w:rPr>
          <w:rFonts w:asciiTheme="majorBidi" w:hAnsiTheme="majorBidi" w:cstheme="majorBidi"/>
          <w:lang w:val="en-GB"/>
        </w:rPr>
        <w:fldChar w:fldCharType="separate"/>
      </w:r>
      <w:r w:rsidRPr="006E388F">
        <w:rPr>
          <w:rFonts w:asciiTheme="majorBidi" w:hAnsiTheme="majorBidi" w:cstheme="majorBidi"/>
          <w:lang w:val="en-GB"/>
        </w:rPr>
        <w:t>Mollah and Zaman (2015)</w:t>
      </w:r>
      <w:r w:rsidRPr="006E388F">
        <w:rPr>
          <w:rFonts w:asciiTheme="majorBidi" w:hAnsiTheme="majorBidi" w:cstheme="majorBidi"/>
          <w:lang w:val="en-GB"/>
        </w:rPr>
        <w:fldChar w:fldCharType="end"/>
      </w:r>
      <w:r w:rsidRPr="006E388F">
        <w:rPr>
          <w:rFonts w:asciiTheme="majorBidi" w:hAnsiTheme="majorBidi" w:cstheme="majorBidi"/>
          <w:lang w:val="en-GB"/>
        </w:rPr>
        <w:t xml:space="preserve">. Other studies, such as Hassan (2011), Garas (2012), </w:t>
      </w:r>
      <w:r w:rsidRPr="006E388F">
        <w:rPr>
          <w:rFonts w:asciiTheme="majorBidi" w:hAnsiTheme="majorBidi" w:cstheme="majorBidi"/>
          <w:lang w:val="en-GB"/>
        </w:rPr>
        <w:fldChar w:fldCharType="begin" w:fldLock="1"/>
      </w:r>
      <w:r w:rsidRPr="006E388F">
        <w:rPr>
          <w:rFonts w:asciiTheme="majorBidi" w:hAnsiTheme="majorBidi" w:cstheme="majorBidi"/>
          <w:lang w:val="en-GB"/>
        </w:rPr>
        <w:instrText>ADDIN CSL_CITATION { "citationItems" : [ { "id" : "ITEM-1", "itemData" : { "DOI" : "10.1108/IMEFM-10-2012-0101", "ISSN" : "1753-8394", "author" : [ { "dropping-particle" : "", "family" : "Choudhury", "given" : "Masudul Alam", "non-dropping-particle" : "", "parse-names" : false, "suffix" : "" } ], "container-title" : "International Journal of Islamic and Middle Eastern Finance and Management", "id" : "ITEM-1", "issue" : "3", "issued" : { "date-parts" : [ [ "2013" ] ] }, "page" : "180-199", "title" : "Corporate governance in Islamic perspective", "type" : "article-journal", "volume" : "6" }, "uris" : [ "http://www.mendeley.com/documents/?uuid=d5da19f5-0fd7-4319-b309-2dc19a6485de" ] } ], "mendeley" : { "formattedCitation" : "(Choudhury, 2013)", "manualFormatting" : "Choudhury (2013)", "plainTextFormattedCitation" : "(Choudhury, 2013)", "previouslyFormattedCitation" : "(Choudhury, 2013)" }, "properties" : { "noteIndex" : 0 }, "schema" : "https://github.com/citation-style-language/schema/raw/master/csl-citation.json" }</w:instrText>
      </w:r>
      <w:r w:rsidRPr="006E388F">
        <w:rPr>
          <w:rFonts w:asciiTheme="majorBidi" w:hAnsiTheme="majorBidi" w:cstheme="majorBidi"/>
          <w:lang w:val="en-GB"/>
        </w:rPr>
        <w:fldChar w:fldCharType="separate"/>
      </w:r>
      <w:r w:rsidRPr="006E388F">
        <w:rPr>
          <w:rFonts w:asciiTheme="majorBidi" w:hAnsiTheme="majorBidi" w:cstheme="majorBidi"/>
          <w:lang w:val="en-GB"/>
        </w:rPr>
        <w:t>Choudhury (2013)</w:t>
      </w:r>
      <w:r w:rsidRPr="006E388F">
        <w:rPr>
          <w:rFonts w:asciiTheme="majorBidi" w:hAnsiTheme="majorBidi" w:cstheme="majorBidi"/>
          <w:lang w:val="en-GB"/>
        </w:rPr>
        <w:fldChar w:fldCharType="end"/>
      </w:r>
      <w:r w:rsidRPr="006E388F">
        <w:rPr>
          <w:rFonts w:asciiTheme="majorBidi" w:hAnsiTheme="majorBidi" w:cstheme="majorBidi"/>
          <w:lang w:val="en-GB"/>
        </w:rPr>
        <w:t>, Wan Abdullah, Percy and Stewart (2013), Mohammed and Muhammed (2017), Mohamad, Muhamad Sori and Shah (2015), and Shaharuddin (2011) focus on the Shari’ah governance</w:t>
      </w:r>
      <w:r w:rsidR="00CB5853">
        <w:rPr>
          <w:rFonts w:asciiTheme="majorBidi" w:hAnsiTheme="majorBidi" w:cstheme="majorBidi"/>
          <w:lang w:val="en-GB"/>
        </w:rPr>
        <w:t xml:space="preserve"> practices</w:t>
      </w:r>
      <w:r w:rsidRPr="006E388F">
        <w:rPr>
          <w:rFonts w:asciiTheme="majorBidi" w:hAnsiTheme="majorBidi" w:cstheme="majorBidi"/>
          <w:lang w:val="en-GB"/>
        </w:rPr>
        <w:t xml:space="preserve">. </w:t>
      </w:r>
    </w:p>
    <w:p w:rsidR="00564BE9" w:rsidRPr="006E388F" w:rsidRDefault="00367D8A" w:rsidP="006E388F">
      <w:pPr>
        <w:spacing w:after="0"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Hasan (2011) aimed at understanding current Shari’ah governance practices in Malaysia, the GCC countries (Kuwait, Bahrain, United Arab Emirates, Qatar and Saudi Arabia) and the UK by identifying a regulatory framework (Shari’ah board structure, composition, role, function, independence, competence, disclosure and transparency) to create awareness of some of the crucial issues pertinent to Shari’ah governance of Islamic banks and to promote greater understanding of Shari’ah governance practices. However, no ranking or benchmarking has been done on the basis of the influence of corporate and Shari’ah governance concerning performance. </w:t>
      </w:r>
    </w:p>
    <w:p w:rsidR="006E388F" w:rsidRDefault="006E388F" w:rsidP="006E388F">
      <w:pPr>
        <w:spacing w:line="240" w:lineRule="auto"/>
        <w:jc w:val="both"/>
        <w:rPr>
          <w:rFonts w:asciiTheme="majorBidi" w:hAnsiTheme="majorBidi" w:cstheme="majorBidi"/>
          <w:b/>
          <w:bCs/>
          <w:sz w:val="24"/>
          <w:szCs w:val="24"/>
          <w:lang w:val="en-GB"/>
        </w:rPr>
      </w:pPr>
    </w:p>
    <w:p w:rsidR="005C7D70" w:rsidRPr="006E388F" w:rsidRDefault="005C7D70" w:rsidP="005C7D70">
      <w:pPr>
        <w:pStyle w:val="Heading3"/>
        <w:numPr>
          <w:ilvl w:val="0"/>
          <w:numId w:val="0"/>
        </w:numPr>
        <w:spacing w:line="240" w:lineRule="auto"/>
        <w:ind w:left="567" w:hanging="567"/>
        <w:jc w:val="both"/>
        <w:rPr>
          <w:rFonts w:asciiTheme="majorBidi" w:hAnsiTheme="majorBidi" w:cstheme="majorBidi"/>
          <w:szCs w:val="24"/>
          <w:lang w:val="en-GB"/>
        </w:rPr>
      </w:pPr>
      <w:r w:rsidRPr="006E388F">
        <w:rPr>
          <w:rFonts w:asciiTheme="majorBidi" w:hAnsiTheme="majorBidi" w:cstheme="majorBidi"/>
          <w:szCs w:val="24"/>
          <w:lang w:val="en-GB"/>
        </w:rPr>
        <w:t>Hypotheses Development</w:t>
      </w:r>
    </w:p>
    <w:p w:rsidR="005C7D70" w:rsidRPr="006E388F" w:rsidRDefault="005C7D70" w:rsidP="005C7D70">
      <w:pPr>
        <w:pStyle w:val="BodyText"/>
        <w:spacing w:line="240" w:lineRule="auto"/>
        <w:rPr>
          <w:rFonts w:asciiTheme="majorBidi" w:hAnsiTheme="majorBidi" w:cstheme="majorBidi"/>
          <w:lang w:val="en-GB"/>
        </w:rPr>
      </w:pPr>
      <w:r w:rsidRPr="006E388F">
        <w:rPr>
          <w:rFonts w:asciiTheme="majorBidi" w:hAnsiTheme="majorBidi" w:cstheme="majorBidi"/>
          <w:lang w:val="en-GB"/>
        </w:rPr>
        <w:t xml:space="preserve">The board of directors are the top executives or key players of a corporation and assigned with the responsibility of formulating the policies and </w:t>
      </w:r>
      <w:r w:rsidR="00AB4722">
        <w:rPr>
          <w:rFonts w:asciiTheme="majorBidi" w:hAnsiTheme="majorBidi" w:cstheme="majorBidi"/>
          <w:noProof/>
          <w:lang w:val="en-GB"/>
        </w:rPr>
        <w:t xml:space="preserve">strategies </w:t>
      </w:r>
      <w:r w:rsidRPr="006E388F">
        <w:rPr>
          <w:rFonts w:asciiTheme="majorBidi" w:hAnsiTheme="majorBidi" w:cstheme="majorBidi"/>
          <w:lang w:val="en-GB"/>
        </w:rPr>
        <w:t xml:space="preserve">and supervising the operations of the corporation.  The BOD of every Islamic bank can be considered as the ultimate internal policymaker that is responsible for the establishment of the </w:t>
      </w:r>
      <w:r w:rsidRPr="006E388F">
        <w:rPr>
          <w:rFonts w:asciiTheme="majorBidi" w:hAnsiTheme="majorBidi" w:cstheme="majorBidi"/>
          <w:noProof/>
          <w:lang w:val="en-GB"/>
        </w:rPr>
        <w:t>governance</w:t>
      </w:r>
      <w:r w:rsidRPr="006E388F">
        <w:rPr>
          <w:rFonts w:asciiTheme="majorBidi" w:hAnsiTheme="majorBidi" w:cstheme="majorBidi"/>
          <w:lang w:val="en-GB"/>
        </w:rPr>
        <w:t xml:space="preserve"> policy framework in their institution (IFSB, 2006).  </w:t>
      </w:r>
    </w:p>
    <w:p w:rsidR="005C7D70" w:rsidRPr="006E388F" w:rsidRDefault="005C7D70" w:rsidP="005C7D70">
      <w:pPr>
        <w:pStyle w:val="BodyText"/>
        <w:spacing w:line="240" w:lineRule="auto"/>
        <w:ind w:firstLine="720"/>
        <w:rPr>
          <w:rFonts w:asciiTheme="majorBidi" w:hAnsiTheme="majorBidi" w:cstheme="majorBidi"/>
          <w:lang w:val="en-GB"/>
        </w:rPr>
      </w:pPr>
      <w:r w:rsidRPr="006E388F">
        <w:rPr>
          <w:rFonts w:asciiTheme="majorBidi" w:hAnsiTheme="majorBidi" w:cstheme="majorBidi"/>
          <w:lang w:val="en-GB"/>
        </w:rPr>
        <w:lastRenderedPageBreak/>
        <w:t>As per the general requirements, as stated in the Shari’ah governance framework (SGF) issued by BNM in 2011, th</w:t>
      </w:r>
      <w:r>
        <w:rPr>
          <w:rFonts w:asciiTheme="majorBidi" w:hAnsiTheme="majorBidi" w:cstheme="majorBidi"/>
          <w:lang w:val="en-GB"/>
        </w:rPr>
        <w:t>e BOD</w:t>
      </w:r>
      <w:r w:rsidRPr="006E388F">
        <w:rPr>
          <w:rFonts w:asciiTheme="majorBidi" w:hAnsiTheme="majorBidi" w:cstheme="majorBidi"/>
          <w:lang w:val="en-GB"/>
        </w:rPr>
        <w:t>, Shari’ah Boards and Shari’ah Committee have important roles in implementing the strategic objectives of the Islamic banks to achieve better performance. The BOD has been recognized as having</w:t>
      </w:r>
      <w:r w:rsidR="00AB4722">
        <w:rPr>
          <w:rFonts w:asciiTheme="majorBidi" w:hAnsiTheme="majorBidi" w:cstheme="majorBidi"/>
          <w:lang w:val="en-GB"/>
        </w:rPr>
        <w:t xml:space="preserve"> </w:t>
      </w:r>
      <w:r w:rsidRPr="006E388F">
        <w:rPr>
          <w:rFonts w:asciiTheme="majorBidi" w:hAnsiTheme="majorBidi" w:cstheme="majorBidi"/>
          <w:lang w:val="en-GB"/>
        </w:rPr>
        <w:t xml:space="preserve">ultimate accountability and responsibility by the authority, BNM, to ensure the effective functioning of the overall governance framework (corporate and Shari’ah governance) in accordance with the size, </w:t>
      </w:r>
      <w:r w:rsidRPr="006E388F">
        <w:rPr>
          <w:rFonts w:asciiTheme="majorBidi" w:hAnsiTheme="majorBidi" w:cstheme="majorBidi"/>
          <w:noProof/>
          <w:lang w:val="en-GB"/>
        </w:rPr>
        <w:t>complexity,</w:t>
      </w:r>
      <w:r w:rsidRPr="006E388F">
        <w:rPr>
          <w:rFonts w:asciiTheme="majorBidi" w:hAnsiTheme="majorBidi" w:cstheme="majorBidi"/>
          <w:lang w:val="en-GB"/>
        </w:rPr>
        <w:t xml:space="preserve"> and nature of the business.  </w:t>
      </w:r>
    </w:p>
    <w:p w:rsidR="005C7D70" w:rsidRPr="006E388F" w:rsidRDefault="005C7D70" w:rsidP="005C7D70">
      <w:pPr>
        <w:pStyle w:val="BodyText"/>
        <w:spacing w:line="240" w:lineRule="auto"/>
        <w:ind w:firstLine="720"/>
        <w:rPr>
          <w:rFonts w:asciiTheme="majorBidi" w:hAnsiTheme="majorBidi" w:cstheme="majorBidi"/>
          <w:b/>
          <w:bCs/>
          <w:lang w:val="en-GB"/>
        </w:rPr>
      </w:pPr>
      <w:r w:rsidRPr="006E388F">
        <w:rPr>
          <w:rFonts w:asciiTheme="majorBidi" w:hAnsiTheme="majorBidi" w:cstheme="majorBidi"/>
          <w:lang w:val="en-GB"/>
        </w:rPr>
        <w:t xml:space="preserve">The most crucial works are on the approval and the implementation of all the policies relating to Shari’ah matters.  The BOD is also expected to appoint a competent and qualified Shari’ah Committee in the Islamic banks. Furthermore, the effective communications concerning the dissemination of Shari’ah matters must be smooth and proper to ensure that all Islamic bank staff </w:t>
      </w:r>
      <w:r w:rsidR="00AB4722">
        <w:rPr>
          <w:rFonts w:asciiTheme="majorBidi" w:hAnsiTheme="majorBidi" w:cstheme="majorBidi"/>
          <w:noProof/>
          <w:lang w:val="en-GB"/>
        </w:rPr>
        <w:t>is</w:t>
      </w:r>
      <w:r w:rsidRPr="006E388F">
        <w:rPr>
          <w:rFonts w:asciiTheme="majorBidi" w:hAnsiTheme="majorBidi" w:cstheme="majorBidi"/>
          <w:lang w:val="en-GB"/>
        </w:rPr>
        <w:t xml:space="preserve"> fully aware of the Shari’ah requirements at all times.  </w:t>
      </w:r>
    </w:p>
    <w:p w:rsidR="005C7D70" w:rsidRPr="006E388F" w:rsidRDefault="005C7D70" w:rsidP="005C7D70">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Non-executive directors (NED) are not employees of the company or affiliated with it in any other way, whilst executive directors are full-time employees of the company who manage the day-to-day operations of the business. Therefore, the existence of NED in the corporation may help corporations to prevent agency problems by monitoring and controlling the opportunistic </w:t>
      </w:r>
      <w:r w:rsidRPr="006E388F">
        <w:rPr>
          <w:rFonts w:asciiTheme="majorBidi" w:hAnsiTheme="majorBidi" w:cstheme="majorBidi"/>
          <w:noProof/>
          <w:sz w:val="24"/>
          <w:szCs w:val="24"/>
          <w:lang w:val="en-GB"/>
        </w:rPr>
        <w:t>behaviours</w:t>
      </w:r>
      <w:r w:rsidRPr="006E388F">
        <w:rPr>
          <w:rFonts w:asciiTheme="majorBidi" w:hAnsiTheme="majorBidi" w:cstheme="majorBidi"/>
          <w:sz w:val="24"/>
          <w:szCs w:val="24"/>
          <w:lang w:val="en-GB"/>
        </w:rPr>
        <w:t xml:space="preserve"> of manageme</w:t>
      </w:r>
      <w:r w:rsidR="007B11BF">
        <w:rPr>
          <w:rFonts w:asciiTheme="majorBidi" w:hAnsiTheme="majorBidi" w:cstheme="majorBidi"/>
          <w:sz w:val="24"/>
          <w:szCs w:val="24"/>
          <w:lang w:val="en-GB"/>
        </w:rPr>
        <w:t>nt in pursuing their interest.</w:t>
      </w:r>
    </w:p>
    <w:p w:rsidR="005C7D70" w:rsidRPr="007B11BF" w:rsidRDefault="005C7D70" w:rsidP="005C7D70">
      <w:pPr>
        <w:spacing w:line="240" w:lineRule="auto"/>
        <w:ind w:firstLine="720"/>
        <w:jc w:val="both"/>
        <w:rPr>
          <w:rFonts w:asciiTheme="majorBidi" w:hAnsiTheme="majorBidi" w:cstheme="majorBidi"/>
          <w:color w:val="0070C0"/>
          <w:sz w:val="24"/>
          <w:szCs w:val="24"/>
          <w:lang w:val="en-GB"/>
        </w:rPr>
      </w:pPr>
      <w:r w:rsidRPr="006E388F">
        <w:rPr>
          <w:rFonts w:asciiTheme="majorBidi" w:hAnsiTheme="majorBidi" w:cstheme="majorBidi"/>
          <w:sz w:val="24"/>
          <w:szCs w:val="24"/>
          <w:lang w:val="en-GB"/>
        </w:rPr>
        <w:t xml:space="preserve">At the international level and from the corporation perspective, the Cadbury Committee (1992) recommends that there should be at least three non-executive directors on the board of quoted companies. Board independence is associated with the entry of outsiders onto the </w:t>
      </w:r>
      <w:r w:rsidRPr="007114BE">
        <w:rPr>
          <w:rFonts w:asciiTheme="majorBidi" w:hAnsiTheme="majorBidi" w:cstheme="majorBidi"/>
          <w:noProof/>
          <w:sz w:val="24"/>
          <w:szCs w:val="24"/>
          <w:lang w:val="en-GB"/>
        </w:rPr>
        <w:t>board</w:t>
      </w:r>
      <w:r w:rsidRPr="007114BE">
        <w:rPr>
          <w:rFonts w:asciiTheme="majorBidi" w:hAnsiTheme="majorBidi" w:cstheme="majorBidi"/>
          <w:sz w:val="24"/>
          <w:szCs w:val="24"/>
          <w:lang w:val="en-GB"/>
        </w:rPr>
        <w:t xml:space="preserve"> and the Cadbury Committee stated the rationale for having an outside presence on the board as firstly, outside directors broaden the strategic view of </w:t>
      </w:r>
      <w:r w:rsidRPr="007114BE">
        <w:rPr>
          <w:rFonts w:asciiTheme="majorBidi" w:hAnsiTheme="majorBidi" w:cstheme="majorBidi"/>
          <w:noProof/>
          <w:sz w:val="24"/>
          <w:szCs w:val="24"/>
          <w:lang w:val="en-GB"/>
        </w:rPr>
        <w:t>boards</w:t>
      </w:r>
      <w:r w:rsidRPr="007114BE">
        <w:rPr>
          <w:rFonts w:asciiTheme="majorBidi" w:hAnsiTheme="majorBidi" w:cstheme="majorBidi"/>
          <w:sz w:val="24"/>
          <w:szCs w:val="24"/>
          <w:lang w:val="en-GB"/>
        </w:rPr>
        <w:t xml:space="preserve"> and they widen a company’s vision.  Secondly, outside board members ensure that boards always have their sights on the interests of the companies. They are well placed to resolve conflicts. Thirdly, the outside directors bring awareness of the external world and ever-changing nature of public expectations to </w:t>
      </w:r>
      <w:r w:rsidRPr="00EF0510">
        <w:rPr>
          <w:rFonts w:asciiTheme="majorBidi" w:hAnsiTheme="majorBidi" w:cstheme="majorBidi"/>
          <w:sz w:val="24"/>
          <w:szCs w:val="24"/>
          <w:lang w:val="en-GB"/>
        </w:rPr>
        <w:t xml:space="preserve">board discussions. Finally, outside directors have a clear role in appointing and monitoring the executive team.  </w:t>
      </w:r>
      <w:r w:rsidR="007B11BF" w:rsidRPr="00EF0510">
        <w:rPr>
          <w:rFonts w:asciiTheme="majorBidi" w:hAnsiTheme="majorBidi" w:cstheme="majorBidi"/>
          <w:sz w:val="24"/>
          <w:szCs w:val="24"/>
          <w:lang w:val="en-GB"/>
        </w:rPr>
        <w:t>Nalukenge, Tauringana and Ntayi (2017) also highlight the pivotal of their role and expertise.</w:t>
      </w:r>
    </w:p>
    <w:p w:rsidR="005C7D70" w:rsidRPr="006E388F" w:rsidRDefault="005C7D70" w:rsidP="005C7D70">
      <w:pPr>
        <w:spacing w:line="240" w:lineRule="auto"/>
        <w:ind w:firstLine="720"/>
        <w:jc w:val="both"/>
        <w:rPr>
          <w:rFonts w:asciiTheme="majorBidi" w:hAnsiTheme="majorBidi" w:cstheme="majorBidi"/>
          <w:sz w:val="24"/>
          <w:szCs w:val="24"/>
          <w:lang w:val="en-GB"/>
        </w:rPr>
      </w:pPr>
      <w:r w:rsidRPr="007114BE">
        <w:rPr>
          <w:rFonts w:asciiTheme="majorBidi" w:hAnsiTheme="majorBidi" w:cstheme="majorBidi"/>
          <w:sz w:val="24"/>
          <w:szCs w:val="24"/>
          <w:lang w:val="en-GB"/>
        </w:rPr>
        <w:t>As supported by other previous research</w:t>
      </w:r>
      <w:r w:rsidRPr="006E388F">
        <w:rPr>
          <w:rFonts w:asciiTheme="majorBidi" w:hAnsiTheme="majorBidi" w:cstheme="majorBidi"/>
          <w:sz w:val="24"/>
          <w:szCs w:val="24"/>
          <w:lang w:val="en-GB"/>
        </w:rPr>
        <w:t xml:space="preserve"> works, their presence would enhance the quality of the director’s decision-making in the corporation and serve as a monitoring and control mechanism for </w:t>
      </w:r>
      <w:r w:rsidRPr="00EF0510">
        <w:rPr>
          <w:rFonts w:asciiTheme="majorBidi" w:hAnsiTheme="majorBidi" w:cstheme="majorBidi"/>
          <w:sz w:val="24"/>
          <w:szCs w:val="24"/>
          <w:lang w:val="en-GB"/>
        </w:rPr>
        <w:t>improving performance (Jensen and Meckling, 1976; Pearce and Zahra, 1992; Haniffa and Hudaib, 2006</w:t>
      </w:r>
      <w:r w:rsidR="007B11BF" w:rsidRPr="00EF0510">
        <w:rPr>
          <w:rFonts w:asciiTheme="majorBidi" w:hAnsiTheme="majorBidi" w:cstheme="majorBidi"/>
          <w:sz w:val="24"/>
          <w:szCs w:val="24"/>
          <w:lang w:val="en-GB"/>
        </w:rPr>
        <w:t>; Bakalikwara 2017</w:t>
      </w:r>
      <w:r w:rsidRPr="00EF0510">
        <w:rPr>
          <w:rFonts w:asciiTheme="majorBidi" w:hAnsiTheme="majorBidi" w:cstheme="majorBidi"/>
          <w:sz w:val="24"/>
          <w:szCs w:val="24"/>
          <w:lang w:val="en-GB"/>
        </w:rPr>
        <w:t xml:space="preserve">). In </w:t>
      </w:r>
      <w:r w:rsidRPr="006E388F">
        <w:rPr>
          <w:rFonts w:asciiTheme="majorBidi" w:hAnsiTheme="majorBidi" w:cstheme="majorBidi"/>
          <w:sz w:val="24"/>
          <w:szCs w:val="24"/>
          <w:lang w:val="en-GB"/>
        </w:rPr>
        <w:t xml:space="preserve">the banking industry, the majority of studies suggest that increases in the proportion of outside directors on the board </w:t>
      </w:r>
      <w:r w:rsidR="00AB4722">
        <w:rPr>
          <w:rFonts w:asciiTheme="majorBidi" w:hAnsiTheme="majorBidi" w:cstheme="majorBidi"/>
          <w:noProof/>
          <w:sz w:val="24"/>
          <w:szCs w:val="24"/>
          <w:lang w:val="en-GB"/>
        </w:rPr>
        <w:t>increase</w:t>
      </w:r>
      <w:r w:rsidRPr="006E388F">
        <w:rPr>
          <w:rFonts w:asciiTheme="majorBidi" w:hAnsiTheme="majorBidi" w:cstheme="majorBidi"/>
          <w:sz w:val="24"/>
          <w:szCs w:val="24"/>
          <w:lang w:val="en-GB"/>
        </w:rPr>
        <w:t xml:space="preserve"> the firm’s performance </w:t>
      </w:r>
      <w:r w:rsidRPr="006E388F">
        <w:rPr>
          <w:rFonts w:asciiTheme="majorBidi" w:hAnsiTheme="majorBidi" w:cstheme="majorBidi"/>
          <w:sz w:val="24"/>
          <w:szCs w:val="24"/>
          <w:lang w:val="en-GB"/>
        </w:rPr>
        <w:fldChar w:fldCharType="begin" w:fldLock="1"/>
      </w:r>
      <w:r w:rsidRPr="006E388F">
        <w:rPr>
          <w:rFonts w:asciiTheme="majorBidi" w:hAnsiTheme="majorBidi" w:cstheme="majorBidi"/>
          <w:sz w:val="24"/>
          <w:szCs w:val="24"/>
          <w:lang w:val="en-GB"/>
        </w:rPr>
        <w:instrText>ADDIN CSL_CITATION { "citationItems" : [ { "id" : "ITEM-1", "itemData" : { "DOI" : "10.1016/j.jbankfin.2008.05.008", "ISSN" : "03784266", "author" : [ { "dropping-particle" : "De", "family" : "Andres", "given" : "Pablo", "non-dropping-particle" : "", "parse-names" : false, "suffix" : "" }, { "dropping-particle" : "", "family" : "Vallelado", "given" : "Eleuterio", "non-dropping-particle" : "", "parse-names" : false, "suffix" : "" } ], "container-title" : "Journal of Banking &amp; Finance", "id" : "ITEM-1", "issue" : "12", "issued" : { "date-parts" : [ [ "2008", "12" ] ] }, "page" : "2570-2580", "title" : "Corporate governance in banking: The role of the board of directors", "type" : "article-journal", "volume" : "32" }, "uris" : [ "http://www.mendeley.com/documents/?uuid=ed9f39f9-da8b-44e7-8ff6-cdaf8041c980" ] } ], "mendeley" : { "formattedCitation" : "(Andres &amp; Vallelado, 2008)", "plainTextFormattedCitation" : "(Andres &amp; Vallelado, 2008)", "previouslyFormattedCitation" : "(Andres &amp; Vallelado, 2008)" }, "properties" : { "noteIndex" : 0 }, "schema" : "https://github.com/citation-style-language/schema/raw/master/csl-citation.json" }</w:instrText>
      </w:r>
      <w:r w:rsidRPr="006E388F">
        <w:rPr>
          <w:rFonts w:asciiTheme="majorBidi" w:hAnsiTheme="majorBidi" w:cstheme="majorBidi"/>
          <w:sz w:val="24"/>
          <w:szCs w:val="24"/>
          <w:lang w:val="en-GB"/>
        </w:rPr>
        <w:fldChar w:fldCharType="separate"/>
      </w:r>
      <w:r w:rsidRPr="006E388F">
        <w:rPr>
          <w:rFonts w:asciiTheme="majorBidi" w:hAnsiTheme="majorBidi" w:cstheme="majorBidi"/>
          <w:sz w:val="24"/>
          <w:szCs w:val="24"/>
          <w:lang w:val="en-GB"/>
        </w:rPr>
        <w:t xml:space="preserve">(Andres and Vallelado, </w:t>
      </w:r>
      <w:r w:rsidRPr="006E388F">
        <w:rPr>
          <w:rFonts w:asciiTheme="majorBidi" w:hAnsiTheme="majorBidi" w:cstheme="majorBidi"/>
          <w:noProof/>
          <w:sz w:val="24"/>
          <w:szCs w:val="24"/>
          <w:lang w:val="en-GB"/>
        </w:rPr>
        <w:t>2008)</w:t>
      </w:r>
      <w:r w:rsidRPr="006E388F">
        <w:rPr>
          <w:rFonts w:asciiTheme="majorBidi" w:hAnsiTheme="majorBidi" w:cstheme="majorBidi"/>
          <w:noProof/>
          <w:sz w:val="24"/>
          <w:szCs w:val="24"/>
          <w:lang w:val="en-GB"/>
        </w:rPr>
        <w:fldChar w:fldCharType="end"/>
      </w:r>
      <w:r w:rsidR="002A76FF">
        <w:rPr>
          <w:rFonts w:asciiTheme="majorBidi" w:hAnsiTheme="majorBidi" w:cstheme="majorBidi"/>
          <w:noProof/>
          <w:sz w:val="24"/>
          <w:szCs w:val="24"/>
          <w:lang w:val="en-GB"/>
        </w:rPr>
        <w:t xml:space="preserve"> </w:t>
      </w:r>
      <w:r w:rsidRPr="006E388F">
        <w:rPr>
          <w:rFonts w:asciiTheme="majorBidi" w:hAnsiTheme="majorBidi" w:cstheme="majorBidi"/>
          <w:sz w:val="24"/>
          <w:szCs w:val="24"/>
          <w:lang w:val="en-GB"/>
        </w:rPr>
        <w:t xml:space="preserve">and that they can be more effective in monitoring managers </w:t>
      </w:r>
      <w:r w:rsidRPr="006E388F">
        <w:rPr>
          <w:rFonts w:asciiTheme="majorBidi" w:hAnsiTheme="majorBidi" w:cstheme="majorBidi"/>
          <w:sz w:val="24"/>
          <w:szCs w:val="24"/>
          <w:lang w:val="en-GB"/>
        </w:rPr>
        <w:fldChar w:fldCharType="begin" w:fldLock="1"/>
      </w:r>
      <w:r w:rsidRPr="006E388F">
        <w:rPr>
          <w:rFonts w:asciiTheme="majorBidi" w:hAnsiTheme="majorBidi" w:cstheme="majorBidi"/>
          <w:sz w:val="24"/>
          <w:szCs w:val="24"/>
          <w:lang w:val="en-GB"/>
        </w:rPr>
        <w:instrText>ADDIN CSL_CITATION { "citationItems" : [ { "id" : "ITEM-1", "itemData" : { "author" : [ { "dropping-particle" : "", "family" : "Adams", "given" : "Ren\u00e9e", "non-dropping-particle" : "", "parse-names" : false, "suffix" : "" }, { "dropping-particle" : "", "family" : "Mehran", "given" : "Hamid", "non-dropping-particle" : "", "parse-names" : false, "suffix" : "" } ], "container-title" : "FRBNY Economic Policy Review", "id" : "ITEM-1", "issue" : "April", "issued" : { "date-parts" : [ [ "2003" ] ] }, "page" : "123-142", "title" : "Is Corporate Governance Different for Bank Holding Companies ?", "type" : "article-magazine" }, "uris" : [ "http://www.mendeley.com/documents/?uuid=7667b7c0-c93a-45cc-bd68-45c4a74b7494" ] } ], "mendeley" : { "formattedCitation" : "(R. Adams &amp; Mehran, 2003)", "plainTextFormattedCitation" : "(R. Adams &amp; Mehran, 2003)", "previouslyFormattedCitation" : "(R. Adams &amp; Mehran, 2003)" }, "properties" : { "noteIndex" : 0 }, "schema" : "https://github.com/citation-style-language/schema/raw/master/csl-citation.json" }</w:instrText>
      </w:r>
      <w:r w:rsidRPr="006E388F">
        <w:rPr>
          <w:rFonts w:asciiTheme="majorBidi" w:hAnsiTheme="majorBidi" w:cstheme="majorBidi"/>
          <w:sz w:val="24"/>
          <w:szCs w:val="24"/>
          <w:lang w:val="en-GB"/>
        </w:rPr>
        <w:fldChar w:fldCharType="separate"/>
      </w:r>
      <w:r w:rsidRPr="006E388F">
        <w:rPr>
          <w:rFonts w:asciiTheme="majorBidi" w:hAnsiTheme="majorBidi" w:cstheme="majorBidi"/>
          <w:sz w:val="24"/>
          <w:szCs w:val="24"/>
          <w:lang w:val="en-GB"/>
        </w:rPr>
        <w:t>(Adams and Mehran, 2003)</w:t>
      </w:r>
      <w:r w:rsidRPr="006E388F">
        <w:rPr>
          <w:rFonts w:asciiTheme="majorBidi" w:hAnsiTheme="majorBidi" w:cstheme="majorBidi"/>
          <w:sz w:val="24"/>
          <w:szCs w:val="24"/>
          <w:lang w:val="en-GB"/>
        </w:rPr>
        <w:fldChar w:fldCharType="end"/>
      </w:r>
      <w:r w:rsidRPr="006E388F">
        <w:rPr>
          <w:rFonts w:asciiTheme="majorBidi" w:hAnsiTheme="majorBidi" w:cstheme="majorBidi"/>
          <w:sz w:val="24"/>
          <w:szCs w:val="24"/>
          <w:lang w:val="en-GB"/>
        </w:rPr>
        <w:t xml:space="preserve">.  </w:t>
      </w:r>
    </w:p>
    <w:p w:rsidR="005C7D70" w:rsidRPr="006E388F" w:rsidRDefault="005C7D70" w:rsidP="005C7D70">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Moreover, Pandya (2011) finds and highlights in his study for the banking sector in India that they, i.e., NEDs, would be able to offer </w:t>
      </w:r>
      <w:r w:rsidRPr="006E388F">
        <w:rPr>
          <w:rFonts w:asciiTheme="majorBidi" w:hAnsiTheme="majorBidi" w:cstheme="majorBidi"/>
          <w:i/>
          <w:iCs/>
          <w:sz w:val="24"/>
          <w:szCs w:val="24"/>
          <w:lang w:val="en-GB"/>
        </w:rPr>
        <w:t xml:space="preserve">‘objectivity to board </w:t>
      </w:r>
      <w:r w:rsidRPr="006E388F">
        <w:rPr>
          <w:rFonts w:asciiTheme="majorBidi" w:hAnsiTheme="majorBidi" w:cstheme="majorBidi"/>
          <w:i/>
          <w:iCs/>
          <w:noProof/>
          <w:sz w:val="24"/>
          <w:szCs w:val="24"/>
          <w:lang w:val="en-GB"/>
        </w:rPr>
        <w:t>decisions’,</w:t>
      </w:r>
      <w:r w:rsidRPr="006E388F">
        <w:rPr>
          <w:rFonts w:asciiTheme="majorBidi" w:hAnsiTheme="majorBidi" w:cstheme="majorBidi"/>
          <w:i/>
          <w:iCs/>
          <w:sz w:val="24"/>
          <w:szCs w:val="24"/>
          <w:lang w:val="en-GB"/>
        </w:rPr>
        <w:t xml:space="preserve"> provide ‘general interest of the </w:t>
      </w:r>
      <w:r w:rsidRPr="006E388F">
        <w:rPr>
          <w:rFonts w:asciiTheme="majorBidi" w:hAnsiTheme="majorBidi" w:cstheme="majorBidi"/>
          <w:i/>
          <w:iCs/>
          <w:noProof/>
          <w:sz w:val="24"/>
          <w:szCs w:val="24"/>
          <w:lang w:val="en-GB"/>
        </w:rPr>
        <w:t>bank’,</w:t>
      </w:r>
      <w:r w:rsidRPr="006E388F">
        <w:rPr>
          <w:rFonts w:asciiTheme="majorBidi" w:hAnsiTheme="majorBidi" w:cstheme="majorBidi"/>
          <w:i/>
          <w:iCs/>
          <w:sz w:val="24"/>
          <w:szCs w:val="24"/>
          <w:lang w:val="en-GB"/>
        </w:rPr>
        <w:t xml:space="preserve"> and assure ‘compliance with sound corporate governance </w:t>
      </w:r>
      <w:r w:rsidRPr="006E388F">
        <w:rPr>
          <w:rFonts w:asciiTheme="majorBidi" w:hAnsiTheme="majorBidi" w:cstheme="majorBidi"/>
          <w:i/>
          <w:iCs/>
          <w:noProof/>
          <w:sz w:val="24"/>
          <w:szCs w:val="24"/>
          <w:lang w:val="en-GB"/>
        </w:rPr>
        <w:t>practices.’</w:t>
      </w:r>
      <w:r w:rsidRPr="006E388F">
        <w:rPr>
          <w:rFonts w:asciiTheme="majorBidi" w:hAnsiTheme="majorBidi" w:cstheme="majorBidi"/>
          <w:sz w:val="24"/>
          <w:szCs w:val="24"/>
          <w:lang w:val="en-GB"/>
        </w:rPr>
        <w:t xml:space="preserve">  Hence, the ideal number of independent non-executive directors would assist in enhancing performance, strengthening the monitoring mechanisms and helping in promoting good corporate governance.  Moreover, the IFSB (2006) outlines the importance of an independent non-executive director as the chairperson of the Governance Committee and members (Part 1: Para 16).  They are particularly relevant to Islamic banks in cultivating a good corporate governance culture by providing different skills, such as legal expertise and business proficiency.</w:t>
      </w:r>
    </w:p>
    <w:p w:rsidR="005C7D70" w:rsidRPr="006E388F" w:rsidRDefault="005C7D70" w:rsidP="005C7D70">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In line with the complexities and heavily regulated nature of the banking industry, banks need people who are knowledgeable and </w:t>
      </w:r>
      <w:r w:rsidR="00AB4722" w:rsidRPr="006E388F">
        <w:rPr>
          <w:rFonts w:asciiTheme="majorBidi" w:hAnsiTheme="majorBidi" w:cstheme="majorBidi"/>
          <w:sz w:val="24"/>
          <w:szCs w:val="24"/>
          <w:lang w:val="en-GB"/>
        </w:rPr>
        <w:t>skil</w:t>
      </w:r>
      <w:r w:rsidR="00AB4722">
        <w:rPr>
          <w:rFonts w:asciiTheme="majorBidi" w:hAnsiTheme="majorBidi" w:cstheme="majorBidi"/>
          <w:sz w:val="24"/>
          <w:szCs w:val="24"/>
          <w:lang w:val="en-GB"/>
        </w:rPr>
        <w:t>f</w:t>
      </w:r>
      <w:r w:rsidR="00AB4722" w:rsidRPr="006E388F">
        <w:rPr>
          <w:rFonts w:asciiTheme="majorBidi" w:hAnsiTheme="majorBidi" w:cstheme="majorBidi"/>
          <w:sz w:val="24"/>
          <w:szCs w:val="24"/>
          <w:lang w:val="en-GB"/>
        </w:rPr>
        <w:t>ul</w:t>
      </w:r>
      <w:r w:rsidRPr="006E388F">
        <w:rPr>
          <w:rFonts w:asciiTheme="majorBidi" w:hAnsiTheme="majorBidi" w:cstheme="majorBidi"/>
          <w:sz w:val="24"/>
          <w:szCs w:val="24"/>
          <w:lang w:val="en-GB"/>
        </w:rPr>
        <w:t xml:space="preserve">.  The BOD is also expected to have a reasonable understanding of the principles of Shari’ah and its broad application in Islamic </w:t>
      </w:r>
      <w:r w:rsidRPr="006E388F">
        <w:rPr>
          <w:rFonts w:asciiTheme="majorBidi" w:hAnsiTheme="majorBidi" w:cstheme="majorBidi"/>
          <w:sz w:val="24"/>
          <w:szCs w:val="24"/>
          <w:lang w:val="en-GB"/>
        </w:rPr>
        <w:lastRenderedPageBreak/>
        <w:t xml:space="preserve">finance for Islamic banks (paragraph 4.1, SGF).  Furthermore, the IFSB (2009) provides a detailed discussion on the competency of the person in monitoring and controlling Islamic banks.  Part II of the IFSB (2009) mentions that the BOD and senior management of the IIFS need to comply with certain minimum criteria to maintain the public’s confidence.  </w:t>
      </w:r>
    </w:p>
    <w:p w:rsidR="005C7D70" w:rsidRPr="006E388F" w:rsidRDefault="005C7D70" w:rsidP="005C7D70">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By having proper ‘competency’ criteria, the public would feel secure in dealing with pe</w:t>
      </w:r>
      <w:r>
        <w:rPr>
          <w:rFonts w:asciiTheme="majorBidi" w:hAnsiTheme="majorBidi" w:cstheme="majorBidi"/>
          <w:sz w:val="24"/>
          <w:szCs w:val="24"/>
          <w:lang w:val="en-GB"/>
        </w:rPr>
        <w:t xml:space="preserve">ople who are competent, honest, </w:t>
      </w:r>
      <w:r w:rsidRPr="006E388F">
        <w:rPr>
          <w:rFonts w:asciiTheme="majorBidi" w:hAnsiTheme="majorBidi" w:cstheme="majorBidi"/>
          <w:sz w:val="24"/>
          <w:szCs w:val="24"/>
          <w:lang w:val="en-GB"/>
        </w:rPr>
        <w:t xml:space="preserve">and financially sound and treat them fairly.  The competency and credibility of key players in the Islamic banks provide the assurance that the Islamic bank’s operations are being monitored and controlled by qualified and trusted people.  Competent directors may give a broader understanding in protecting the shareholders and other stakeholders due to the unique character of Islamic banks </w:t>
      </w:r>
      <w:r w:rsidRPr="006E388F">
        <w:rPr>
          <w:rFonts w:asciiTheme="majorBidi" w:hAnsiTheme="majorBidi" w:cstheme="majorBidi"/>
          <w:sz w:val="24"/>
          <w:szCs w:val="24"/>
          <w:lang w:val="en-GB"/>
        </w:rPr>
        <w:fldChar w:fldCharType="begin" w:fldLock="1"/>
      </w:r>
      <w:r w:rsidRPr="006E388F">
        <w:rPr>
          <w:rFonts w:asciiTheme="majorBidi" w:hAnsiTheme="majorBidi" w:cstheme="majorBidi"/>
          <w:sz w:val="24"/>
          <w:szCs w:val="24"/>
          <w:lang w:val="en-GB"/>
        </w:rPr>
        <w:instrText>ADDIN CSL_CITATION { "citationItems" : [ { "id" : "ITEM-1", "itemData" : { "DOI" : "10.1108/14720701311302404", "ISSN" : "1472-0701", "author" : [ { "dropping-particle" : "", "family" : "Magalh\u00e3es", "given" : "Rodrigo", "non-dropping-particle" : "", "parse-names" : false, "suffix" : "" }, { "dropping-particle" : "", "family" : "Al-Saad", "given" : "Shereen", "non-dropping-particle" : "", "parse-names" : false, "suffix" : "" } ], "container-title" : "Corporate Governance", "id" : "ITEM-1", "issue" : "1", "issued" : { "date-parts" : [ [ "2013" ] ] }, "page" : "39-57", "title" : "Corporate governance in Islamic financial institutions: the issues surrounding unrestricted investment account holders", "type" : "article-journal", "volume" : "13" }, "uris" : [ "http://www.mendeley.com/documents/?uuid=b28521d6-5576-402d-9a53-c4b6db76034e" ] } ], "mendeley" : { "formattedCitation" : "(Magalh\u00e3es &amp; Al-Saad, 2013)", "plainTextFormattedCitation" : "(Magalh\u00e3es &amp; Al-Saad, 2013)", "previouslyFormattedCitation" : "(Magalh\u00e3es &amp; Al-Saad, 2013)" }, "properties" : { "noteIndex" : 0 }, "schema" : "https://github.com/citation-style-language/schema/raw/master/csl-citation.json" }</w:instrText>
      </w:r>
      <w:r w:rsidRPr="006E388F">
        <w:rPr>
          <w:rFonts w:asciiTheme="majorBidi" w:hAnsiTheme="majorBidi" w:cstheme="majorBidi"/>
          <w:sz w:val="24"/>
          <w:szCs w:val="24"/>
          <w:lang w:val="en-GB"/>
        </w:rPr>
        <w:fldChar w:fldCharType="separate"/>
      </w:r>
      <w:r w:rsidRPr="006E388F">
        <w:rPr>
          <w:rFonts w:asciiTheme="majorBidi" w:hAnsiTheme="majorBidi" w:cstheme="majorBidi"/>
          <w:sz w:val="24"/>
          <w:szCs w:val="24"/>
          <w:lang w:val="en-GB"/>
        </w:rPr>
        <w:t>(Magalhães and Al-Saad, 2013)</w:t>
      </w:r>
      <w:r w:rsidRPr="006E388F">
        <w:rPr>
          <w:rFonts w:asciiTheme="majorBidi" w:hAnsiTheme="majorBidi" w:cstheme="majorBidi"/>
          <w:sz w:val="24"/>
          <w:szCs w:val="24"/>
          <w:lang w:val="en-GB"/>
        </w:rPr>
        <w:fldChar w:fldCharType="end"/>
      </w:r>
      <w:r w:rsidRPr="006E388F">
        <w:rPr>
          <w:rFonts w:asciiTheme="majorBidi" w:hAnsiTheme="majorBidi" w:cstheme="majorBidi"/>
          <w:sz w:val="24"/>
          <w:szCs w:val="24"/>
          <w:lang w:val="en-GB"/>
        </w:rPr>
        <w:t xml:space="preserve">.  </w:t>
      </w:r>
    </w:p>
    <w:p w:rsidR="005C7D70" w:rsidRPr="00EF0510" w:rsidRDefault="005C7D70" w:rsidP="005C7D70">
      <w:pPr>
        <w:pStyle w:val="BodyTextFirstIndent"/>
        <w:spacing w:line="240" w:lineRule="auto"/>
        <w:ind w:firstLine="672"/>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To ensure successful decision-making in meetings, one of the requirements concerns the frequency of the meetings as well as the quality of achieving a consensus in the meeting.  Researchers in the banking industry, such as Andres and Vallelado (2008), and Adam and Mehran (2003), conclude that by having more frequent board meetings, banks would enhance the quality of decision-making and improve performance as the complex nature of the banking industry requires </w:t>
      </w:r>
      <w:r w:rsidRPr="00EF0510">
        <w:rPr>
          <w:rFonts w:asciiTheme="majorBidi" w:hAnsiTheme="majorBidi" w:cstheme="majorBidi"/>
          <w:sz w:val="24"/>
          <w:szCs w:val="24"/>
          <w:lang w:val="en-GB"/>
        </w:rPr>
        <w:t xml:space="preserve">more detailed analysis for every issue arising in the business.  </w:t>
      </w:r>
    </w:p>
    <w:p w:rsidR="005C7D70" w:rsidRPr="006E388F" w:rsidRDefault="005C7D70" w:rsidP="005C7D70">
      <w:pPr>
        <w:spacing w:line="240" w:lineRule="auto"/>
        <w:ind w:left="672" w:hanging="672"/>
        <w:jc w:val="both"/>
        <w:rPr>
          <w:rFonts w:asciiTheme="majorBidi" w:hAnsiTheme="majorBidi" w:cstheme="majorBidi"/>
          <w:sz w:val="24"/>
          <w:szCs w:val="24"/>
          <w:lang w:val="en-GB"/>
        </w:rPr>
      </w:pPr>
      <w:r w:rsidRPr="00EF0510">
        <w:rPr>
          <w:rFonts w:asciiTheme="majorBidi" w:hAnsiTheme="majorBidi" w:cstheme="majorBidi"/>
          <w:sz w:val="24"/>
          <w:szCs w:val="24"/>
          <w:lang w:val="en-GB"/>
        </w:rPr>
        <w:t>H1:  Corporate governance mechani</w:t>
      </w:r>
      <w:r w:rsidR="00C06B69" w:rsidRPr="00EF0510">
        <w:rPr>
          <w:rFonts w:asciiTheme="majorBidi" w:hAnsiTheme="majorBidi" w:cstheme="majorBidi"/>
          <w:sz w:val="24"/>
          <w:szCs w:val="24"/>
          <w:lang w:val="en-GB"/>
        </w:rPr>
        <w:t>sm has a positive effect</w:t>
      </w:r>
      <w:r w:rsidRPr="00EF0510">
        <w:rPr>
          <w:rFonts w:asciiTheme="majorBidi" w:hAnsiTheme="majorBidi" w:cstheme="majorBidi"/>
          <w:sz w:val="24"/>
          <w:szCs w:val="24"/>
          <w:lang w:val="en-GB"/>
        </w:rPr>
        <w:t xml:space="preserve"> on </w:t>
      </w:r>
      <w:r w:rsidRPr="006E388F">
        <w:rPr>
          <w:rFonts w:asciiTheme="majorBidi" w:hAnsiTheme="majorBidi" w:cstheme="majorBidi"/>
          <w:sz w:val="24"/>
          <w:szCs w:val="24"/>
          <w:lang w:val="en-GB"/>
        </w:rPr>
        <w:t>the financial performance of Islamic banks.</w:t>
      </w:r>
    </w:p>
    <w:p w:rsidR="005C7D70" w:rsidRPr="006E388F" w:rsidRDefault="005C7D70" w:rsidP="005C7D70">
      <w:pPr>
        <w:spacing w:line="240" w:lineRule="auto"/>
        <w:ind w:left="1330" w:hanging="61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H1a:  Corporate governance </w:t>
      </w:r>
      <w:r w:rsidR="00C06B69" w:rsidRPr="006E388F">
        <w:rPr>
          <w:rFonts w:asciiTheme="majorBidi" w:hAnsiTheme="majorBidi" w:cstheme="majorBidi"/>
          <w:sz w:val="24"/>
          <w:szCs w:val="24"/>
          <w:lang w:val="en-GB"/>
        </w:rPr>
        <w:t>mechani</w:t>
      </w:r>
      <w:r w:rsidR="00C06B69">
        <w:rPr>
          <w:rFonts w:asciiTheme="majorBidi" w:hAnsiTheme="majorBidi" w:cstheme="majorBidi"/>
          <w:sz w:val="24"/>
          <w:szCs w:val="24"/>
          <w:lang w:val="en-GB"/>
        </w:rPr>
        <w:t>sm has a positive effect</w:t>
      </w:r>
      <w:r w:rsidR="00C06B69" w:rsidRPr="006E388F">
        <w:rPr>
          <w:rFonts w:asciiTheme="majorBidi" w:hAnsiTheme="majorBidi" w:cstheme="majorBidi"/>
          <w:sz w:val="24"/>
          <w:szCs w:val="24"/>
          <w:lang w:val="en-GB"/>
        </w:rPr>
        <w:t xml:space="preserve"> </w:t>
      </w:r>
      <w:r w:rsidRPr="006E388F">
        <w:rPr>
          <w:rFonts w:asciiTheme="majorBidi" w:hAnsiTheme="majorBidi" w:cstheme="majorBidi"/>
          <w:sz w:val="24"/>
          <w:szCs w:val="24"/>
          <w:lang w:val="en-GB"/>
        </w:rPr>
        <w:t>on the ROE of Islamic banks.</w:t>
      </w:r>
    </w:p>
    <w:p w:rsidR="005C7D70" w:rsidRPr="006E388F" w:rsidRDefault="005C7D70" w:rsidP="005C7D70">
      <w:pPr>
        <w:spacing w:line="240" w:lineRule="auto"/>
        <w:ind w:left="1330" w:hanging="61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H1b:  Corporate governance </w:t>
      </w:r>
      <w:r w:rsidR="00C06B69" w:rsidRPr="006E388F">
        <w:rPr>
          <w:rFonts w:asciiTheme="majorBidi" w:hAnsiTheme="majorBidi" w:cstheme="majorBidi"/>
          <w:sz w:val="24"/>
          <w:szCs w:val="24"/>
          <w:lang w:val="en-GB"/>
        </w:rPr>
        <w:t>mechani</w:t>
      </w:r>
      <w:r w:rsidR="00C06B69">
        <w:rPr>
          <w:rFonts w:asciiTheme="majorBidi" w:hAnsiTheme="majorBidi" w:cstheme="majorBidi"/>
          <w:sz w:val="24"/>
          <w:szCs w:val="24"/>
          <w:lang w:val="en-GB"/>
        </w:rPr>
        <w:t>sm has a positive effect</w:t>
      </w:r>
      <w:r w:rsidR="00C06B69" w:rsidRPr="006E388F">
        <w:rPr>
          <w:rFonts w:asciiTheme="majorBidi" w:hAnsiTheme="majorBidi" w:cstheme="majorBidi"/>
          <w:sz w:val="24"/>
          <w:szCs w:val="24"/>
          <w:lang w:val="en-GB"/>
        </w:rPr>
        <w:t xml:space="preserve"> </w:t>
      </w:r>
      <w:r w:rsidRPr="006E388F">
        <w:rPr>
          <w:rFonts w:asciiTheme="majorBidi" w:hAnsiTheme="majorBidi" w:cstheme="majorBidi"/>
          <w:sz w:val="24"/>
          <w:szCs w:val="24"/>
          <w:lang w:val="en-GB"/>
        </w:rPr>
        <w:t>on the ROA of Islamic banks.</w:t>
      </w:r>
    </w:p>
    <w:p w:rsidR="005C7D70" w:rsidRPr="006E388F" w:rsidRDefault="005C7D70" w:rsidP="005C7D70">
      <w:pPr>
        <w:spacing w:line="240" w:lineRule="auto"/>
        <w:ind w:left="1330" w:hanging="61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H1c:  Corporate governance </w:t>
      </w:r>
      <w:r w:rsidR="00C06B69" w:rsidRPr="006E388F">
        <w:rPr>
          <w:rFonts w:asciiTheme="majorBidi" w:hAnsiTheme="majorBidi" w:cstheme="majorBidi"/>
          <w:sz w:val="24"/>
          <w:szCs w:val="24"/>
          <w:lang w:val="en-GB"/>
        </w:rPr>
        <w:t>mechani</w:t>
      </w:r>
      <w:r w:rsidR="00C06B69">
        <w:rPr>
          <w:rFonts w:asciiTheme="majorBidi" w:hAnsiTheme="majorBidi" w:cstheme="majorBidi"/>
          <w:sz w:val="24"/>
          <w:szCs w:val="24"/>
          <w:lang w:val="en-GB"/>
        </w:rPr>
        <w:t>sm has a positive effect</w:t>
      </w:r>
      <w:r w:rsidR="00C06B69" w:rsidRPr="006E388F">
        <w:rPr>
          <w:rFonts w:asciiTheme="majorBidi" w:hAnsiTheme="majorBidi" w:cstheme="majorBidi"/>
          <w:sz w:val="24"/>
          <w:szCs w:val="24"/>
          <w:lang w:val="en-GB"/>
        </w:rPr>
        <w:t xml:space="preserve"> </w:t>
      </w:r>
      <w:r w:rsidRPr="006E388F">
        <w:rPr>
          <w:rFonts w:asciiTheme="majorBidi" w:hAnsiTheme="majorBidi" w:cstheme="majorBidi"/>
          <w:sz w:val="24"/>
          <w:szCs w:val="24"/>
          <w:lang w:val="en-GB"/>
        </w:rPr>
        <w:t xml:space="preserve">on the </w:t>
      </w:r>
      <w:r w:rsidRPr="006E388F">
        <w:rPr>
          <w:rFonts w:asciiTheme="majorBidi" w:hAnsiTheme="majorBidi" w:cstheme="majorBidi"/>
          <w:noProof/>
          <w:sz w:val="24"/>
          <w:szCs w:val="24"/>
          <w:lang w:val="en-GB"/>
        </w:rPr>
        <w:t>CTI</w:t>
      </w:r>
      <w:r w:rsidRPr="006E388F">
        <w:rPr>
          <w:rFonts w:asciiTheme="majorBidi" w:hAnsiTheme="majorBidi" w:cstheme="majorBidi"/>
          <w:sz w:val="24"/>
          <w:szCs w:val="24"/>
          <w:lang w:val="en-GB"/>
        </w:rPr>
        <w:t xml:space="preserve"> of Islamic banks.</w:t>
      </w:r>
    </w:p>
    <w:p w:rsidR="005C7D70" w:rsidRPr="006E388F" w:rsidRDefault="005C7D70" w:rsidP="005C7D70">
      <w:pPr>
        <w:spacing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T</w:t>
      </w:r>
      <w:r w:rsidRPr="006E388F">
        <w:rPr>
          <w:rFonts w:asciiTheme="majorBidi" w:hAnsiTheme="majorBidi" w:cstheme="majorBidi"/>
          <w:sz w:val="24"/>
          <w:szCs w:val="24"/>
          <w:lang w:val="en-GB"/>
        </w:rPr>
        <w:t>he Shari’</w:t>
      </w:r>
      <w:r>
        <w:rPr>
          <w:rFonts w:asciiTheme="majorBidi" w:hAnsiTheme="majorBidi" w:cstheme="majorBidi"/>
          <w:sz w:val="24"/>
          <w:szCs w:val="24"/>
          <w:lang w:val="en-GB"/>
        </w:rPr>
        <w:t xml:space="preserve">ah governance framework (2011) required </w:t>
      </w:r>
      <w:r w:rsidRPr="006E388F">
        <w:rPr>
          <w:rFonts w:asciiTheme="majorBidi" w:hAnsiTheme="majorBidi" w:cstheme="majorBidi"/>
          <w:sz w:val="24"/>
          <w:szCs w:val="24"/>
          <w:lang w:val="en-GB"/>
        </w:rPr>
        <w:t>the number of Shari’ah Committee members must not be less than five with the majority possessing strong knowledge of Shari’ah and backed by the app</w:t>
      </w:r>
      <w:r>
        <w:rPr>
          <w:rFonts w:asciiTheme="majorBidi" w:hAnsiTheme="majorBidi" w:cstheme="majorBidi"/>
          <w:sz w:val="24"/>
          <w:szCs w:val="24"/>
          <w:lang w:val="en-GB"/>
        </w:rPr>
        <w:t>ropriate qualifications. Firstly</w:t>
      </w:r>
      <w:r w:rsidRPr="006E388F">
        <w:rPr>
          <w:rFonts w:asciiTheme="majorBidi" w:hAnsiTheme="majorBidi" w:cstheme="majorBidi"/>
          <w:sz w:val="24"/>
          <w:szCs w:val="24"/>
          <w:lang w:val="en-GB"/>
        </w:rPr>
        <w:t>, must be Muslim; second</w:t>
      </w:r>
      <w:r>
        <w:rPr>
          <w:rFonts w:asciiTheme="majorBidi" w:hAnsiTheme="majorBidi" w:cstheme="majorBidi"/>
          <w:sz w:val="24"/>
          <w:szCs w:val="24"/>
          <w:lang w:val="en-GB"/>
        </w:rPr>
        <w:t>ly</w:t>
      </w:r>
      <w:r w:rsidRPr="006E388F">
        <w:rPr>
          <w:rFonts w:asciiTheme="majorBidi" w:hAnsiTheme="majorBidi" w:cstheme="majorBidi"/>
          <w:sz w:val="24"/>
          <w:szCs w:val="24"/>
          <w:lang w:val="en-GB"/>
        </w:rPr>
        <w:t>, at least hold a Bachelor</w:t>
      </w:r>
      <w:r>
        <w:rPr>
          <w:rFonts w:asciiTheme="majorBidi" w:hAnsiTheme="majorBidi" w:cstheme="majorBidi"/>
          <w:sz w:val="24"/>
          <w:szCs w:val="24"/>
          <w:lang w:val="en-GB"/>
        </w:rPr>
        <w:t>’</w:t>
      </w:r>
      <w:r w:rsidRPr="006E388F">
        <w:rPr>
          <w:rFonts w:asciiTheme="majorBidi" w:hAnsiTheme="majorBidi" w:cstheme="majorBidi"/>
          <w:sz w:val="24"/>
          <w:szCs w:val="24"/>
          <w:lang w:val="en-GB"/>
        </w:rPr>
        <w:t xml:space="preserve">s degree in Shari’ah (which includes the study of Usul Fiqh or Fiqh Muamalat) from a recognized </w:t>
      </w:r>
      <w:r w:rsidRPr="006E388F">
        <w:rPr>
          <w:rFonts w:asciiTheme="majorBidi" w:hAnsiTheme="majorBidi" w:cstheme="majorBidi"/>
          <w:noProof/>
          <w:sz w:val="24"/>
          <w:szCs w:val="24"/>
          <w:lang w:val="en-GB"/>
        </w:rPr>
        <w:t>university</w:t>
      </w:r>
      <w:r w:rsidRPr="006E388F">
        <w:rPr>
          <w:rFonts w:asciiTheme="majorBidi" w:hAnsiTheme="majorBidi" w:cstheme="majorBidi"/>
          <w:sz w:val="24"/>
          <w:szCs w:val="24"/>
          <w:lang w:val="en-GB"/>
        </w:rPr>
        <w:t>; third</w:t>
      </w:r>
      <w:r>
        <w:rPr>
          <w:rFonts w:asciiTheme="majorBidi" w:hAnsiTheme="majorBidi" w:cstheme="majorBidi"/>
          <w:sz w:val="24"/>
          <w:szCs w:val="24"/>
          <w:lang w:val="en-GB"/>
        </w:rPr>
        <w:t>ly</w:t>
      </w:r>
      <w:r w:rsidRPr="006E388F">
        <w:rPr>
          <w:rFonts w:asciiTheme="majorBidi" w:hAnsiTheme="majorBidi" w:cstheme="majorBidi"/>
          <w:sz w:val="24"/>
          <w:szCs w:val="24"/>
          <w:lang w:val="en-GB"/>
        </w:rPr>
        <w:t>, be able to demonstrate strong proficiency and knowledge in written and verbal Arabic, and have good understanding in Bahasa Mala</w:t>
      </w:r>
      <w:r>
        <w:rPr>
          <w:rFonts w:asciiTheme="majorBidi" w:hAnsiTheme="majorBidi" w:cstheme="majorBidi"/>
          <w:sz w:val="24"/>
          <w:szCs w:val="24"/>
          <w:lang w:val="en-GB"/>
        </w:rPr>
        <w:t xml:space="preserve">ysia and the English language. In addition, </w:t>
      </w:r>
      <w:r w:rsidRPr="006E388F">
        <w:rPr>
          <w:rFonts w:asciiTheme="majorBidi" w:hAnsiTheme="majorBidi" w:cstheme="majorBidi"/>
          <w:sz w:val="24"/>
          <w:szCs w:val="24"/>
          <w:lang w:val="en-GB"/>
        </w:rPr>
        <w:t xml:space="preserve">the Shari’ah Committee may also comprise experts with a finance and law </w:t>
      </w:r>
      <w:r w:rsidRPr="006E388F">
        <w:rPr>
          <w:rFonts w:asciiTheme="majorBidi" w:hAnsiTheme="majorBidi" w:cstheme="majorBidi"/>
          <w:noProof/>
          <w:sz w:val="24"/>
          <w:szCs w:val="24"/>
          <w:lang w:val="en-GB"/>
        </w:rPr>
        <w:t>background,</w:t>
      </w:r>
      <w:r w:rsidRPr="006E388F">
        <w:rPr>
          <w:rFonts w:asciiTheme="majorBidi" w:hAnsiTheme="majorBidi" w:cstheme="majorBidi"/>
          <w:sz w:val="24"/>
          <w:szCs w:val="24"/>
          <w:lang w:val="en-GB"/>
        </w:rPr>
        <w:t xml:space="preserve"> and that a diversity of qualifications, </w:t>
      </w:r>
      <w:r w:rsidRPr="006E388F">
        <w:rPr>
          <w:rFonts w:asciiTheme="majorBidi" w:hAnsiTheme="majorBidi" w:cstheme="majorBidi"/>
          <w:noProof/>
          <w:sz w:val="24"/>
          <w:szCs w:val="24"/>
          <w:lang w:val="en-GB"/>
        </w:rPr>
        <w:t>experience,</w:t>
      </w:r>
      <w:r w:rsidRPr="006E388F">
        <w:rPr>
          <w:rFonts w:asciiTheme="majorBidi" w:hAnsiTheme="majorBidi" w:cstheme="majorBidi"/>
          <w:sz w:val="24"/>
          <w:szCs w:val="24"/>
          <w:lang w:val="en-GB"/>
        </w:rPr>
        <w:t xml:space="preserve"> and knowledge is preferable.  Paragraph 2.7 of the Shari’ah Governance Framework clearly mentions the ultimate responsibility and accountability of the Shari’ah Committee for all decisions, </w:t>
      </w:r>
      <w:r w:rsidRPr="006E388F">
        <w:rPr>
          <w:rFonts w:asciiTheme="majorBidi" w:hAnsiTheme="majorBidi" w:cstheme="majorBidi"/>
          <w:noProof/>
          <w:sz w:val="24"/>
          <w:szCs w:val="24"/>
          <w:lang w:val="en-GB"/>
        </w:rPr>
        <w:t>views,</w:t>
      </w:r>
      <w:r w:rsidRPr="006E388F">
        <w:rPr>
          <w:rFonts w:asciiTheme="majorBidi" w:hAnsiTheme="majorBidi" w:cstheme="majorBidi"/>
          <w:sz w:val="24"/>
          <w:szCs w:val="24"/>
          <w:lang w:val="en-GB"/>
        </w:rPr>
        <w:t xml:space="preserve"> and opinions related to Shari’ah matters.  </w:t>
      </w:r>
    </w:p>
    <w:p w:rsidR="005C7D70" w:rsidRPr="006E388F" w:rsidRDefault="005C7D70" w:rsidP="005C7D70">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The Shari’ah Board/Committee must also ensure that meetings are held at least once in every two months (Appe</w:t>
      </w:r>
      <w:r w:rsidR="002A76FF">
        <w:rPr>
          <w:rFonts w:asciiTheme="majorBidi" w:hAnsiTheme="majorBidi" w:cstheme="majorBidi"/>
          <w:sz w:val="24"/>
          <w:szCs w:val="24"/>
          <w:lang w:val="en-GB"/>
        </w:rPr>
        <w:t>ndix 5, SGF), the argument is</w:t>
      </w:r>
      <w:r w:rsidRPr="006E388F">
        <w:rPr>
          <w:rFonts w:asciiTheme="majorBidi" w:hAnsiTheme="majorBidi" w:cstheme="majorBidi"/>
          <w:sz w:val="24"/>
          <w:szCs w:val="24"/>
          <w:lang w:val="en-GB"/>
        </w:rPr>
        <w:t xml:space="preserve"> that the more people handling the key Shari’ah compliance functions in the Islamic banks, the better the banks would perform.  The key Shari’ah compliance functions cover Shari’ah Review, Shari’ah Audit, Shari’ah Risk Management and Shari’ah Research.  </w:t>
      </w:r>
    </w:p>
    <w:p w:rsidR="005C7D70" w:rsidRPr="006E388F" w:rsidRDefault="005C7D70" w:rsidP="005C7D70">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The Shari’ah Review work should cover from product structuring to product offering and its function refers to the ‘regular assessment on Shari’ah compliance in the activities and operations of the IFI by qualified Shari’ah officer(s), with the objective of ensuring that the activities and operations carried out by the IFI do not contravene Shari’ah (Paragraph 7.3, SGF).  </w:t>
      </w:r>
    </w:p>
    <w:p w:rsidR="005C7D70" w:rsidRPr="006E388F" w:rsidRDefault="005C7D70" w:rsidP="005C7D70">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lastRenderedPageBreak/>
        <w:t xml:space="preserve">The Shari’ah Audit work covers the audit of the financial statements of the IFI, compliance audit on organizational structure, people, process and information technology application systems, and the review of the adequacy of the Shari’ah governance process.  The Shari’ah Audit function refers to the ‘periodical assessment conducted from time to time, to provide an independent assessment and objective assurance designed to add value and improve the degree of compliance in relation to the </w:t>
      </w:r>
      <w:r w:rsidRPr="006E388F">
        <w:rPr>
          <w:rFonts w:asciiTheme="majorBidi" w:hAnsiTheme="majorBidi" w:cstheme="majorBidi"/>
          <w:noProof/>
          <w:sz w:val="24"/>
          <w:szCs w:val="24"/>
          <w:lang w:val="en-GB"/>
        </w:rPr>
        <w:t>IFI’s</w:t>
      </w:r>
      <w:r w:rsidRPr="006E388F">
        <w:rPr>
          <w:rFonts w:asciiTheme="majorBidi" w:hAnsiTheme="majorBidi" w:cstheme="majorBidi"/>
          <w:sz w:val="24"/>
          <w:szCs w:val="24"/>
          <w:lang w:val="en-GB"/>
        </w:rPr>
        <w:t xml:space="preserve"> business operations, with the main objective </w:t>
      </w:r>
      <w:r w:rsidRPr="006E388F">
        <w:rPr>
          <w:rFonts w:asciiTheme="majorBidi" w:hAnsiTheme="majorBidi" w:cstheme="majorBidi"/>
          <w:sz w:val="24"/>
          <w:szCs w:val="24"/>
        </w:rPr>
        <w:t xml:space="preserve">of ensuring </w:t>
      </w:r>
      <w:r w:rsidRPr="006E388F">
        <w:rPr>
          <w:rFonts w:asciiTheme="majorBidi" w:hAnsiTheme="majorBidi" w:cstheme="majorBidi"/>
          <w:sz w:val="24"/>
          <w:szCs w:val="24"/>
          <w:lang w:val="en-GB"/>
        </w:rPr>
        <w:t xml:space="preserve">a sound and effective internal control system for Shari’ah compliance’ (Para 7.8, SGF).  </w:t>
      </w:r>
    </w:p>
    <w:p w:rsidR="005C7D70" w:rsidRPr="006E388F" w:rsidRDefault="005C7D70" w:rsidP="005C7D70">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The Shari’ah Risk Management refers to ‘a function to systematically identify, measure, monitor and control Shari’ah non-compliance risks to mitigate any possible </w:t>
      </w:r>
      <w:r w:rsidRPr="006E388F">
        <w:rPr>
          <w:rFonts w:asciiTheme="majorBidi" w:hAnsiTheme="majorBidi" w:cstheme="majorBidi"/>
          <w:noProof/>
          <w:sz w:val="24"/>
          <w:szCs w:val="24"/>
          <w:lang w:val="en-GB"/>
        </w:rPr>
        <w:t>non-compliance</w:t>
      </w:r>
      <w:r w:rsidRPr="006E388F">
        <w:rPr>
          <w:rFonts w:asciiTheme="majorBidi" w:hAnsiTheme="majorBidi" w:cstheme="majorBidi"/>
          <w:sz w:val="24"/>
          <w:szCs w:val="24"/>
          <w:lang w:val="en-GB"/>
        </w:rPr>
        <w:t xml:space="preserve"> events’ (Para 7.15, SGF).  The Shari’ah Research function refers ‘to the conduct of performing in-depth research and studies on Shari’ah issues, including providing day-to-day Shari’ah advice and consultancy to relevant parties, including those involved in the product development process(es)’ (Para 7.21, SGF). </w:t>
      </w:r>
    </w:p>
    <w:p w:rsidR="005C7D70" w:rsidRPr="006E388F" w:rsidRDefault="005C7D70" w:rsidP="005C7D70">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fldChar w:fldCharType="begin" w:fldLock="1"/>
      </w:r>
      <w:r w:rsidRPr="006E388F">
        <w:rPr>
          <w:rFonts w:asciiTheme="majorBidi" w:hAnsiTheme="majorBidi" w:cstheme="majorBidi"/>
          <w:sz w:val="24"/>
          <w:szCs w:val="24"/>
          <w:lang w:val="en-GB"/>
        </w:rPr>
        <w:instrText>ADDIN CSL_CITATION { "citationItems" : [ { "id" : "ITEM-1", "itemData" : { "DOI" : "10.1108/08288661311299295", "ISSN" : "0828-8666", "author" : [ { "dropping-particle" : "", "family" : "Darmadi", "given" : "Salim", "non-dropping-particle" : "", "parse-names" : false, "suffix" : "" } ], "container-title" : "Humanomics", "id" : "ITEM-1", "issue" : "1", "issued" : { "date-parts" : [ [ "2013" ] ] }, "page" : "4-23", "title" : "Corporate governance disclosure in the annual report: An exploratory study on Indonesian Islamic banks", "type" : "article-journal", "volume" : "29" }, "uris" : [ "http://www.mendeley.com/documents/?uuid=daf8b5bc-54e8-4c64-bd80-c8466199d2ea" ] } ], "mendeley" : { "formattedCitation" : "(Darmadi, 2013)", "manualFormatting" : "Darmadi (2013)", "plainTextFormattedCitation" : "(Darmadi, 2013)", "previouslyFormattedCitation" : "(Darmadi, 2013)" }, "properties" : { "noteIndex" : 0 }, "schema" : "https://github.com/citation-style-language/schema/raw/master/csl-citation.json" }</w:instrText>
      </w:r>
      <w:r w:rsidRPr="006E388F">
        <w:rPr>
          <w:rFonts w:asciiTheme="majorBidi" w:hAnsiTheme="majorBidi" w:cstheme="majorBidi"/>
          <w:sz w:val="24"/>
          <w:szCs w:val="24"/>
          <w:lang w:val="en-GB"/>
        </w:rPr>
        <w:fldChar w:fldCharType="separate"/>
      </w:r>
      <w:r w:rsidRPr="006E388F">
        <w:rPr>
          <w:rFonts w:asciiTheme="majorBidi" w:hAnsiTheme="majorBidi" w:cstheme="majorBidi"/>
          <w:sz w:val="24"/>
          <w:szCs w:val="24"/>
          <w:lang w:val="en-GB"/>
        </w:rPr>
        <w:t>Darmadi (2013)</w:t>
      </w:r>
      <w:r w:rsidRPr="006E388F">
        <w:rPr>
          <w:rFonts w:asciiTheme="majorBidi" w:hAnsiTheme="majorBidi" w:cstheme="majorBidi"/>
          <w:sz w:val="24"/>
          <w:szCs w:val="24"/>
          <w:lang w:val="en-GB"/>
        </w:rPr>
        <w:fldChar w:fldCharType="end"/>
      </w:r>
      <w:r>
        <w:rPr>
          <w:rFonts w:asciiTheme="majorBidi" w:hAnsiTheme="majorBidi" w:cstheme="majorBidi"/>
          <w:sz w:val="24"/>
          <w:szCs w:val="24"/>
          <w:lang w:val="en-GB"/>
        </w:rPr>
        <w:t xml:space="preserve"> and Safieddine (2009) state that </w:t>
      </w:r>
      <w:r w:rsidRPr="006E388F">
        <w:rPr>
          <w:rFonts w:asciiTheme="majorBidi" w:hAnsiTheme="majorBidi" w:cstheme="majorBidi"/>
          <w:sz w:val="24"/>
          <w:szCs w:val="24"/>
          <w:lang w:val="en-GB"/>
        </w:rPr>
        <w:t>a Shari’ah Supervisory Board is essential to ensure that the activities of Islamic banks are in line with Shari’ah law</w:t>
      </w:r>
      <w:r>
        <w:rPr>
          <w:rFonts w:asciiTheme="majorBidi" w:hAnsiTheme="majorBidi" w:cstheme="majorBidi"/>
          <w:sz w:val="24"/>
          <w:szCs w:val="24"/>
          <w:lang w:val="en-GB"/>
        </w:rPr>
        <w:t>. They</w:t>
      </w:r>
      <w:r w:rsidRPr="006E388F">
        <w:rPr>
          <w:rFonts w:asciiTheme="majorBidi" w:hAnsiTheme="majorBidi" w:cstheme="majorBidi"/>
          <w:sz w:val="24"/>
          <w:szCs w:val="24"/>
          <w:lang w:val="en-GB"/>
        </w:rPr>
        <w:t xml:space="preserve"> serve as an internal control mechanism (</w:t>
      </w:r>
      <w:r w:rsidRPr="006E388F">
        <w:rPr>
          <w:rFonts w:asciiTheme="majorBidi" w:hAnsiTheme="majorBidi" w:cstheme="majorBidi"/>
          <w:sz w:val="24"/>
          <w:szCs w:val="24"/>
          <w:lang w:val="en-GB"/>
        </w:rPr>
        <w:fldChar w:fldCharType="begin" w:fldLock="1"/>
      </w:r>
      <w:r w:rsidRPr="006E388F">
        <w:rPr>
          <w:rFonts w:asciiTheme="majorBidi" w:hAnsiTheme="majorBidi" w:cstheme="majorBidi"/>
          <w:sz w:val="24"/>
          <w:szCs w:val="24"/>
          <w:lang w:val="en-GB"/>
        </w:rPr>
        <w:instrText>ADDIN CSL_CITATION { "citationItems" : [ { "id" : "ITEM-1", "itemData" : { "DOI" : "10.1016/j.jbankfin.2015.04.030", "ISBN" : "0378-4266", "ISSN" : "03784266", "abstract" : "The performance and accountability of boards of directors and effectiveness of governance mechanisms continue to be a matter of concern. Focusing on differences between conventional banks and Islamic banks, we examine the effect of (i) Shari\u2019ah supervision boards, (ii) board structure and (iii) CEO-power on performance during the period 2005\u20132011. We find Shari\u2019ah supervision boards positively impact on Islamic banks\u2019 performance when they perform a supervisory role, but the impact is negligible when they have only an advisory role. The effect of board structure (board size and board independence) and CEO power (CEO-chair duality and internally recruited CEO) on the performance of Islamic banks is overall negative. Our findings provide support for the positive contribution of Shari\u2019ah supervision boards but also emphasize the need for enforcement and regulatory mechanism for them to be more effective.", "author" : [ { "dropping-particle" : "", "family" : "Mollah", "given" : "Sabur", "non-dropping-particle" : "", "parse-names" : false, "suffix" : "" }, { "dropping-particle" : "", "family" : "Zaman", "given" : "Mahbub", "non-dropping-particle" : "", "parse-names" : false, "suffix" : "" } ], "container-title" : "Journal of Banking &amp; Finance", "id" : "ITEM-1", "issued" : { "date-parts" : [ [ "2015" ] ] }, "page" : "418-435", "publisher" : "Elsevier B.V.", "title" : "Shari\u2019ah supervision, corporate governance and performance: Conventional vs. Islamic banks", "type" : "article-journal", "volume" : "58" }, "uris" : [ "http://www.mendeley.com/documents/?uuid=14c35ee0-c637-45d9-a1bc-3fd1abc1b894" ] } ], "mendeley" : { "formattedCitation" : "(Mollah &amp; Zaman, 2015)", "manualFormatting" : "Mollah &amp; Zaman, 2015)", "plainTextFormattedCitation" : "(Mollah &amp; Zaman, 2015)", "previouslyFormattedCitation" : "(Mollah &amp; Zaman, 2015)" }, "properties" : { "noteIndex" : 0 }, "schema" : "https://github.com/citation-style-language/schema/raw/master/csl-citation.json" }</w:instrText>
      </w:r>
      <w:r w:rsidRPr="006E388F">
        <w:rPr>
          <w:rFonts w:asciiTheme="majorBidi" w:hAnsiTheme="majorBidi" w:cstheme="majorBidi"/>
          <w:sz w:val="24"/>
          <w:szCs w:val="24"/>
          <w:lang w:val="en-GB"/>
        </w:rPr>
        <w:fldChar w:fldCharType="separate"/>
      </w:r>
      <w:r w:rsidRPr="006E388F">
        <w:rPr>
          <w:rFonts w:asciiTheme="majorBidi" w:hAnsiTheme="majorBidi" w:cstheme="majorBidi"/>
          <w:sz w:val="24"/>
          <w:szCs w:val="24"/>
          <w:lang w:val="en-GB"/>
        </w:rPr>
        <w:t>Mollah and Zaman, 2015)</w:t>
      </w:r>
      <w:r w:rsidRPr="006E388F">
        <w:rPr>
          <w:rFonts w:asciiTheme="majorBidi" w:hAnsiTheme="majorBidi" w:cstheme="majorBidi"/>
          <w:sz w:val="24"/>
          <w:szCs w:val="24"/>
          <w:lang w:val="en-GB"/>
        </w:rPr>
        <w:fldChar w:fldCharType="end"/>
      </w:r>
      <w:r w:rsidRPr="006E388F">
        <w:rPr>
          <w:rFonts w:asciiTheme="majorBidi" w:hAnsiTheme="majorBidi" w:cstheme="majorBidi"/>
          <w:sz w:val="24"/>
          <w:szCs w:val="24"/>
          <w:lang w:val="en-GB"/>
        </w:rPr>
        <w:t xml:space="preserve">, Haniffa and Hudaib, 2007; Nienhaus, 2007; </w:t>
      </w:r>
      <w:r w:rsidRPr="006E388F">
        <w:rPr>
          <w:rFonts w:asciiTheme="majorBidi" w:hAnsiTheme="majorBidi" w:cstheme="majorBidi"/>
          <w:sz w:val="24"/>
          <w:szCs w:val="24"/>
          <w:lang w:val="en-GB"/>
        </w:rPr>
        <w:fldChar w:fldCharType="begin" w:fldLock="1"/>
      </w:r>
      <w:r w:rsidRPr="006E388F">
        <w:rPr>
          <w:rFonts w:asciiTheme="majorBidi" w:hAnsiTheme="majorBidi" w:cstheme="majorBidi"/>
          <w:sz w:val="24"/>
          <w:szCs w:val="24"/>
          <w:lang w:val="en-GB"/>
        </w:rPr>
        <w:instrText>ADDIN CSL_CITATION { "citationItems" : [ { "id" : "ITEM-1", "itemData" : { "DOI" : "10.1108/14720701311302404", "ISSN" : "1472-0701", "author" : [ { "dropping-particle" : "", "family" : "Magalh\u00e3es", "given" : "Rodrigo", "non-dropping-particle" : "", "parse-names" : false, "suffix" : "" }, { "dropping-particle" : "", "family" : "Al-Saad", "given" : "Shereen", "non-dropping-particle" : "", "parse-names" : false, "suffix" : "" } ], "container-title" : "Corporate Governance", "id" : "ITEM-1", "issue" : "1", "issued" : { "date-parts" : [ [ "2013" ] ] }, "page" : "39-57", "title" : "Corporate governance in Islamic financial institutions: the issues surrounding unrestricted investment account holders", "type" : "article-journal", "volume" : "13" }, "uris" : [ "http://www.mendeley.com/documents/?uuid=b28521d6-5576-402d-9a53-c4b6db76034e" ] } ], "mendeley" : { "formattedCitation" : "(Magalh\u00e3es &amp; Al-Saad, 2013)", "manualFormatting" : "Magalh\u00e3es &amp; Al-Saad, 2013)", "plainTextFormattedCitation" : "(Magalh\u00e3es &amp; Al-Saad, 2013)", "previouslyFormattedCitation" : "(Magalh\u00e3es &amp; Al-Saad, 2013)" }, "properties" : { "noteIndex" : 0 }, "schema" : "https://github.com/citation-style-language/schema/raw/master/csl-citation.json" }</w:instrText>
      </w:r>
      <w:r w:rsidRPr="006E388F">
        <w:rPr>
          <w:rFonts w:asciiTheme="majorBidi" w:hAnsiTheme="majorBidi" w:cstheme="majorBidi"/>
          <w:sz w:val="24"/>
          <w:szCs w:val="24"/>
          <w:lang w:val="en-GB"/>
        </w:rPr>
        <w:fldChar w:fldCharType="separate"/>
      </w:r>
      <w:r w:rsidRPr="006E388F">
        <w:rPr>
          <w:rFonts w:asciiTheme="majorBidi" w:hAnsiTheme="majorBidi" w:cstheme="majorBidi"/>
          <w:sz w:val="24"/>
          <w:szCs w:val="24"/>
          <w:lang w:val="en-GB"/>
        </w:rPr>
        <w:t>Magalhães and Al-Saad, 2013)</w:t>
      </w:r>
      <w:r w:rsidRPr="006E388F">
        <w:rPr>
          <w:rFonts w:asciiTheme="majorBidi" w:hAnsiTheme="majorBidi" w:cstheme="majorBidi"/>
          <w:sz w:val="24"/>
          <w:szCs w:val="24"/>
          <w:lang w:val="en-GB"/>
        </w:rPr>
        <w:fldChar w:fldCharType="end"/>
      </w:r>
      <w:r w:rsidRPr="006E388F">
        <w:rPr>
          <w:rFonts w:asciiTheme="majorBidi" w:hAnsiTheme="majorBidi" w:cstheme="majorBidi"/>
          <w:sz w:val="24"/>
          <w:szCs w:val="24"/>
          <w:lang w:val="en-GB"/>
        </w:rPr>
        <w:t xml:space="preserve">.  They describe this mechanism for reviewing and supervising the activities of an Islamic bank.  </w:t>
      </w:r>
      <w:r>
        <w:rPr>
          <w:rFonts w:asciiTheme="majorBidi" w:hAnsiTheme="majorBidi" w:cstheme="majorBidi"/>
          <w:sz w:val="24"/>
          <w:szCs w:val="24"/>
          <w:lang w:val="en-GB"/>
        </w:rPr>
        <w:t xml:space="preserve">Apparently, </w:t>
      </w:r>
      <w:r w:rsidRPr="006E388F">
        <w:rPr>
          <w:rFonts w:asciiTheme="majorBidi" w:hAnsiTheme="majorBidi" w:cstheme="majorBidi"/>
          <w:sz w:val="24"/>
          <w:szCs w:val="24"/>
          <w:lang w:val="en-GB"/>
        </w:rPr>
        <w:t xml:space="preserve">they </w:t>
      </w:r>
      <w:r>
        <w:rPr>
          <w:rFonts w:asciiTheme="majorBidi" w:hAnsiTheme="majorBidi" w:cstheme="majorBidi"/>
          <w:sz w:val="24"/>
          <w:szCs w:val="24"/>
          <w:lang w:val="en-GB"/>
        </w:rPr>
        <w:t xml:space="preserve">serve as </w:t>
      </w:r>
      <w:r w:rsidRPr="006E388F">
        <w:rPr>
          <w:rFonts w:asciiTheme="majorBidi" w:hAnsiTheme="majorBidi" w:cstheme="majorBidi"/>
          <w:sz w:val="24"/>
          <w:szCs w:val="24"/>
          <w:lang w:val="en-GB"/>
        </w:rPr>
        <w:t>an independent body within an Islamic bank</w:t>
      </w:r>
      <w:r>
        <w:rPr>
          <w:rFonts w:asciiTheme="majorBidi" w:hAnsiTheme="majorBidi" w:cstheme="majorBidi"/>
          <w:sz w:val="24"/>
          <w:szCs w:val="24"/>
          <w:lang w:val="en-GB"/>
        </w:rPr>
        <w:t xml:space="preserve">. In sum, they should not </w:t>
      </w:r>
      <w:r w:rsidRPr="006E388F">
        <w:rPr>
          <w:rFonts w:asciiTheme="majorBidi" w:hAnsiTheme="majorBidi" w:cstheme="majorBidi"/>
          <w:sz w:val="24"/>
          <w:szCs w:val="24"/>
          <w:lang w:val="en-GB"/>
        </w:rPr>
        <w:t xml:space="preserve">be influenced by the management of banks or shareholders. </w:t>
      </w:r>
    </w:p>
    <w:p w:rsidR="005C7D70" w:rsidRPr="006E388F" w:rsidRDefault="005C7D70" w:rsidP="005C7D70">
      <w:pPr>
        <w:spacing w:line="240" w:lineRule="auto"/>
        <w:ind w:firstLine="532"/>
        <w:jc w:val="both"/>
        <w:rPr>
          <w:rFonts w:asciiTheme="majorBidi" w:hAnsiTheme="majorBidi" w:cstheme="majorBidi"/>
          <w:sz w:val="24"/>
          <w:szCs w:val="24"/>
          <w:lang w:val="en-GB"/>
        </w:rPr>
      </w:pPr>
      <w:r>
        <w:rPr>
          <w:rFonts w:asciiTheme="majorBidi" w:hAnsiTheme="majorBidi" w:cstheme="majorBidi"/>
          <w:sz w:val="24"/>
          <w:szCs w:val="24"/>
          <w:lang w:val="en-GB"/>
        </w:rPr>
        <w:t xml:space="preserve">By having Shari’ah board in Islamic banks they would contribute </w:t>
      </w:r>
      <w:r w:rsidR="002A76FF">
        <w:rPr>
          <w:rFonts w:asciiTheme="majorBidi" w:hAnsiTheme="majorBidi" w:cstheme="majorBidi"/>
          <w:sz w:val="24"/>
          <w:szCs w:val="24"/>
          <w:lang w:val="en-GB"/>
        </w:rPr>
        <w:t>to increasing</w:t>
      </w:r>
      <w:r w:rsidRPr="006E388F">
        <w:rPr>
          <w:rFonts w:asciiTheme="majorBidi" w:hAnsiTheme="majorBidi" w:cstheme="majorBidi"/>
          <w:sz w:val="24"/>
          <w:szCs w:val="24"/>
          <w:lang w:val="en-GB"/>
        </w:rPr>
        <w:t xml:space="preserve"> the confidence of the Islam</w:t>
      </w:r>
      <w:r>
        <w:rPr>
          <w:rFonts w:asciiTheme="majorBidi" w:hAnsiTheme="majorBidi" w:cstheme="majorBidi"/>
          <w:sz w:val="24"/>
          <w:szCs w:val="24"/>
          <w:lang w:val="en-GB"/>
        </w:rPr>
        <w:t>ic investors and society, as posit</w:t>
      </w:r>
      <w:r w:rsidRPr="006E388F">
        <w:rPr>
          <w:rFonts w:asciiTheme="majorBidi" w:hAnsiTheme="majorBidi" w:cstheme="majorBidi"/>
          <w:sz w:val="24"/>
          <w:szCs w:val="24"/>
          <w:lang w:val="en-GB"/>
        </w:rPr>
        <w:t xml:space="preserve">ed by </w:t>
      </w:r>
      <w:r w:rsidRPr="006E388F">
        <w:rPr>
          <w:rFonts w:asciiTheme="majorBidi" w:hAnsiTheme="majorBidi" w:cstheme="majorBidi"/>
          <w:sz w:val="24"/>
          <w:szCs w:val="24"/>
          <w:lang w:val="en-GB"/>
        </w:rPr>
        <w:fldChar w:fldCharType="begin" w:fldLock="1"/>
      </w:r>
      <w:r w:rsidRPr="006E388F">
        <w:rPr>
          <w:rFonts w:asciiTheme="majorBidi" w:hAnsiTheme="majorBidi" w:cstheme="majorBidi"/>
          <w:sz w:val="24"/>
          <w:szCs w:val="24"/>
          <w:lang w:val="en-GB"/>
        </w:rPr>
        <w:instrText>ADDIN CSL_CITATION { "citationItems" : [ { "id" : "ITEM-1", "itemData" : { "DOI" : "10.1108/17590811111170539", "ISSN" : "1759-0817", "author" : [ { "dropping-particle" : "", "family" : "Farook", "given" : "Sayd", "non-dropping-particle" : "", "parse-names" : false, "suffix" : "" }, { "dropping-particle" : "", "family" : "Hassan", "given" : "M. Kabir", "non-dropping-particle" : "", "parse-names" : false, "suffix" : "" }, { "dropping-particle" : "", "family" : "Lanis", "given" : "Roman", "non-dropping-particle" : "", "parse-names" : false, "suffix" : "" } ], "container-title" : "Journal of Islamic Accounting and Business Research", "id" : "ITEM-1", "issue" : "2", "issued" : { "date-parts" : [ [ "2011" ] ] }, "page" : "114-141", "title" : "Determinants of corporate social responsibility disclosure: the case of Islamic banks", "type" : "article-journal", "volume" : "2" }, "uris" : [ "http://www.mendeley.com/documents/?uuid=a3b1b5cd-04f9-4afe-977e-3a810c5303a1" ] } ], "mendeley" : { "formattedCitation" : "(Farook, Hassan, &amp; Lanis, 2011)", "manualFormatting" : "Farook et al. (2011)", "plainTextFormattedCitation" : "(Farook, Hassan, &amp; Lanis, 2011)", "previouslyFormattedCitation" : "(Farook, Hassan, &amp; Lanis, 2011)" }, "properties" : { "noteIndex" : 0 }, "schema" : "https://github.com/citation-style-language/schema/raw/master/csl-citation.json" }</w:instrText>
      </w:r>
      <w:r w:rsidRPr="006E388F">
        <w:rPr>
          <w:rFonts w:asciiTheme="majorBidi" w:hAnsiTheme="majorBidi" w:cstheme="majorBidi"/>
          <w:sz w:val="24"/>
          <w:szCs w:val="24"/>
          <w:lang w:val="en-GB"/>
        </w:rPr>
        <w:fldChar w:fldCharType="separate"/>
      </w:r>
      <w:r w:rsidRPr="006E388F">
        <w:rPr>
          <w:rFonts w:asciiTheme="majorBidi" w:hAnsiTheme="majorBidi" w:cstheme="majorBidi"/>
          <w:sz w:val="24"/>
          <w:szCs w:val="24"/>
          <w:lang w:val="en-GB"/>
        </w:rPr>
        <w:t>Farook, Hassan and Lanis (2011)</w:t>
      </w:r>
      <w:r w:rsidRPr="006E388F">
        <w:rPr>
          <w:rFonts w:asciiTheme="majorBidi" w:hAnsiTheme="majorBidi" w:cstheme="majorBidi"/>
          <w:sz w:val="24"/>
          <w:szCs w:val="24"/>
          <w:lang w:val="en-GB"/>
        </w:rPr>
        <w:fldChar w:fldCharType="end"/>
      </w:r>
      <w:r w:rsidRPr="006E388F">
        <w:rPr>
          <w:rFonts w:asciiTheme="majorBidi" w:hAnsiTheme="majorBidi" w:cstheme="majorBidi"/>
          <w:sz w:val="24"/>
          <w:szCs w:val="24"/>
          <w:lang w:val="en-GB"/>
        </w:rPr>
        <w:t xml:space="preserve">, </w:t>
      </w:r>
      <w:r w:rsidRPr="006E388F">
        <w:rPr>
          <w:rFonts w:asciiTheme="majorBidi" w:hAnsiTheme="majorBidi" w:cstheme="majorBidi"/>
          <w:sz w:val="24"/>
          <w:szCs w:val="24"/>
          <w:lang w:val="en-GB"/>
        </w:rPr>
        <w:fldChar w:fldCharType="begin" w:fldLock="1"/>
      </w:r>
      <w:r w:rsidRPr="006E388F">
        <w:rPr>
          <w:rFonts w:asciiTheme="majorBidi" w:hAnsiTheme="majorBidi" w:cstheme="majorBidi"/>
          <w:sz w:val="24"/>
          <w:szCs w:val="24"/>
          <w:lang w:val="en-GB"/>
        </w:rPr>
        <w:instrText>ADDIN CSL_CITATION { "citationItems" : [ { "id" : "ITEM-1", "itemData" : { "DOI" : "10.1108/13581981211218315", "ISSN" : "1358-1988", "author" : [ { "dropping-particle" : "", "family" : "Al-Tamimi", "given" : "Hussein a. Hassan", "non-dropping-particle" : "", "parse-names" : false, "suffix" : "" } ], "container-title" : "Journal of Financial Regulation and Compliance", "id" : "ITEM-1", "issue" : "2", "issued" : { "date-parts" : [ [ "2012" ] ] }, "page" : "169-181", "title" : "The effects of corporate governance on performance and financial distress: The experience of UAE national banks", "type" : "article-journal", "volume" : "20" }, "uris" : [ "http://www.mendeley.com/documents/?uuid=55c48a75-d244-4b02-9d64-0d478eb10856" ] } ], "mendeley" : { "formattedCitation" : "(Al-Tamimi, 2012)", "manualFormatting" : "Al-Tamimi (2012) and Abu-Tapanjeh (2009)", "plainTextFormattedCitation" : "(Al-Tamimi, 2012)", "previouslyFormattedCitation" : "(Al-Tamimi, 2012)" }, "properties" : { "noteIndex" : 0 }, "schema" : "https://github.com/citation-style-language/schema/raw/master/csl-citation.json" }</w:instrText>
      </w:r>
      <w:r w:rsidRPr="006E388F">
        <w:rPr>
          <w:rFonts w:asciiTheme="majorBidi" w:hAnsiTheme="majorBidi" w:cstheme="majorBidi"/>
          <w:sz w:val="24"/>
          <w:szCs w:val="24"/>
          <w:lang w:val="en-GB"/>
        </w:rPr>
        <w:fldChar w:fldCharType="separate"/>
      </w:r>
      <w:r w:rsidRPr="006E388F">
        <w:rPr>
          <w:rFonts w:asciiTheme="majorBidi" w:hAnsiTheme="majorBidi" w:cstheme="majorBidi"/>
          <w:sz w:val="24"/>
          <w:szCs w:val="24"/>
          <w:lang w:val="en-GB"/>
        </w:rPr>
        <w:t>Al-Tamimi (2012), and Abu-Tapanjeh (2009)</w:t>
      </w:r>
      <w:r w:rsidRPr="006E388F">
        <w:rPr>
          <w:rFonts w:asciiTheme="majorBidi" w:hAnsiTheme="majorBidi" w:cstheme="majorBidi"/>
          <w:sz w:val="24"/>
          <w:szCs w:val="24"/>
          <w:lang w:val="en-GB"/>
        </w:rPr>
        <w:fldChar w:fldCharType="end"/>
      </w:r>
      <w:r w:rsidRPr="006E388F">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Ultimately, Islamic banks would be known as </w:t>
      </w:r>
      <w:r w:rsidRPr="006E388F">
        <w:rPr>
          <w:rFonts w:asciiTheme="majorBidi" w:hAnsiTheme="majorBidi" w:cstheme="majorBidi"/>
          <w:sz w:val="24"/>
          <w:szCs w:val="24"/>
          <w:lang w:val="en-GB"/>
        </w:rPr>
        <w:t>efficient, stable, and trustworthy providers of financial services to the public (Bhatti and Bhatti, 2010). Based on the above explanation, the follo</w:t>
      </w:r>
      <w:r>
        <w:rPr>
          <w:rFonts w:asciiTheme="majorBidi" w:hAnsiTheme="majorBidi" w:cstheme="majorBidi"/>
          <w:sz w:val="24"/>
          <w:szCs w:val="24"/>
          <w:lang w:val="en-GB"/>
        </w:rPr>
        <w:t>wing hypotheses have been develop</w:t>
      </w:r>
      <w:r w:rsidRPr="006E388F">
        <w:rPr>
          <w:rFonts w:asciiTheme="majorBidi" w:hAnsiTheme="majorBidi" w:cstheme="majorBidi"/>
          <w:sz w:val="24"/>
          <w:szCs w:val="24"/>
          <w:lang w:val="en-GB"/>
        </w:rPr>
        <w:t xml:space="preserve">ed.  </w:t>
      </w:r>
    </w:p>
    <w:p w:rsidR="005C7D70" w:rsidRPr="006E388F" w:rsidRDefault="005C7D70" w:rsidP="005C7D70">
      <w:pPr>
        <w:spacing w:line="240" w:lineRule="auto"/>
        <w:ind w:left="532" w:hanging="532"/>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H2: Shari’ah governance </w:t>
      </w:r>
      <w:r w:rsidR="00C06B69" w:rsidRPr="00EF0510">
        <w:rPr>
          <w:rFonts w:asciiTheme="majorBidi" w:hAnsiTheme="majorBidi" w:cstheme="majorBidi"/>
          <w:sz w:val="24"/>
          <w:szCs w:val="24"/>
          <w:lang w:val="en-GB"/>
        </w:rPr>
        <w:t xml:space="preserve">mechanism has a positive effect </w:t>
      </w:r>
      <w:r w:rsidRPr="00EF0510">
        <w:rPr>
          <w:rFonts w:asciiTheme="majorBidi" w:hAnsiTheme="majorBidi" w:cstheme="majorBidi"/>
          <w:sz w:val="24"/>
          <w:szCs w:val="24"/>
          <w:lang w:val="en-GB"/>
        </w:rPr>
        <w:t xml:space="preserve">on </w:t>
      </w:r>
      <w:r w:rsidRPr="006E388F">
        <w:rPr>
          <w:rFonts w:asciiTheme="majorBidi" w:hAnsiTheme="majorBidi" w:cstheme="majorBidi"/>
          <w:sz w:val="24"/>
          <w:szCs w:val="24"/>
          <w:lang w:val="en-GB"/>
        </w:rPr>
        <w:t>the financial performance of Islamic banks.</w:t>
      </w:r>
    </w:p>
    <w:p w:rsidR="005C7D70" w:rsidRPr="006E388F" w:rsidRDefault="005C7D70" w:rsidP="005C7D70">
      <w:pPr>
        <w:spacing w:line="240" w:lineRule="auto"/>
        <w:ind w:left="1288" w:hanging="668"/>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H2a:  Shari’ah governance </w:t>
      </w:r>
      <w:r w:rsidR="00C06B69" w:rsidRPr="006E388F">
        <w:rPr>
          <w:rFonts w:asciiTheme="majorBidi" w:hAnsiTheme="majorBidi" w:cstheme="majorBidi"/>
          <w:sz w:val="24"/>
          <w:szCs w:val="24"/>
          <w:lang w:val="en-GB"/>
        </w:rPr>
        <w:t>mechani</w:t>
      </w:r>
      <w:r w:rsidR="00C06B69">
        <w:rPr>
          <w:rFonts w:asciiTheme="majorBidi" w:hAnsiTheme="majorBidi" w:cstheme="majorBidi"/>
          <w:sz w:val="24"/>
          <w:szCs w:val="24"/>
          <w:lang w:val="en-GB"/>
        </w:rPr>
        <w:t>sm has a positive effect</w:t>
      </w:r>
      <w:r w:rsidR="00C06B69" w:rsidRPr="006E388F">
        <w:rPr>
          <w:rFonts w:asciiTheme="majorBidi" w:hAnsiTheme="majorBidi" w:cstheme="majorBidi"/>
          <w:sz w:val="24"/>
          <w:szCs w:val="24"/>
          <w:lang w:val="en-GB"/>
        </w:rPr>
        <w:t xml:space="preserve"> </w:t>
      </w:r>
      <w:r w:rsidRPr="006E388F">
        <w:rPr>
          <w:rFonts w:asciiTheme="majorBidi" w:hAnsiTheme="majorBidi" w:cstheme="majorBidi"/>
          <w:sz w:val="24"/>
          <w:szCs w:val="24"/>
          <w:lang w:val="en-GB"/>
        </w:rPr>
        <w:t>on the ROE of Islamic banks.</w:t>
      </w:r>
    </w:p>
    <w:p w:rsidR="005C7D70" w:rsidRPr="006E388F" w:rsidRDefault="005C7D70" w:rsidP="005C7D70">
      <w:pPr>
        <w:spacing w:line="240" w:lineRule="auto"/>
        <w:ind w:left="1288" w:hanging="668"/>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H2b:  Shari’ah governance </w:t>
      </w:r>
      <w:r w:rsidR="00C06B69" w:rsidRPr="006E388F">
        <w:rPr>
          <w:rFonts w:asciiTheme="majorBidi" w:hAnsiTheme="majorBidi" w:cstheme="majorBidi"/>
          <w:sz w:val="24"/>
          <w:szCs w:val="24"/>
          <w:lang w:val="en-GB"/>
        </w:rPr>
        <w:t>mechani</w:t>
      </w:r>
      <w:r w:rsidR="00C06B69">
        <w:rPr>
          <w:rFonts w:asciiTheme="majorBidi" w:hAnsiTheme="majorBidi" w:cstheme="majorBidi"/>
          <w:sz w:val="24"/>
          <w:szCs w:val="24"/>
          <w:lang w:val="en-GB"/>
        </w:rPr>
        <w:t>sm has a positive effect</w:t>
      </w:r>
      <w:r w:rsidR="00C06B69" w:rsidRPr="006E388F">
        <w:rPr>
          <w:rFonts w:asciiTheme="majorBidi" w:hAnsiTheme="majorBidi" w:cstheme="majorBidi"/>
          <w:sz w:val="24"/>
          <w:szCs w:val="24"/>
          <w:lang w:val="en-GB"/>
        </w:rPr>
        <w:t xml:space="preserve"> </w:t>
      </w:r>
      <w:r w:rsidRPr="006E388F">
        <w:rPr>
          <w:rFonts w:asciiTheme="majorBidi" w:hAnsiTheme="majorBidi" w:cstheme="majorBidi"/>
          <w:sz w:val="24"/>
          <w:szCs w:val="24"/>
          <w:lang w:val="en-GB"/>
        </w:rPr>
        <w:t>on the ROA of Islamic banks.</w:t>
      </w:r>
    </w:p>
    <w:p w:rsidR="005C7D70" w:rsidRPr="006E388F" w:rsidRDefault="005C7D70" w:rsidP="005C7D70">
      <w:pPr>
        <w:spacing w:line="240" w:lineRule="auto"/>
        <w:ind w:left="1288" w:hanging="668"/>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H2c:  Shari’ah governance </w:t>
      </w:r>
      <w:r w:rsidR="00C06B69" w:rsidRPr="006E388F">
        <w:rPr>
          <w:rFonts w:asciiTheme="majorBidi" w:hAnsiTheme="majorBidi" w:cstheme="majorBidi"/>
          <w:sz w:val="24"/>
          <w:szCs w:val="24"/>
          <w:lang w:val="en-GB"/>
        </w:rPr>
        <w:t>mechani</w:t>
      </w:r>
      <w:r w:rsidR="00C06B69">
        <w:rPr>
          <w:rFonts w:asciiTheme="majorBidi" w:hAnsiTheme="majorBidi" w:cstheme="majorBidi"/>
          <w:sz w:val="24"/>
          <w:szCs w:val="24"/>
          <w:lang w:val="en-GB"/>
        </w:rPr>
        <w:t>sm has a positive effect</w:t>
      </w:r>
      <w:r w:rsidR="00C06B69" w:rsidRPr="006E388F">
        <w:rPr>
          <w:rFonts w:asciiTheme="majorBidi" w:hAnsiTheme="majorBidi" w:cstheme="majorBidi"/>
          <w:sz w:val="24"/>
          <w:szCs w:val="24"/>
          <w:lang w:val="en-GB"/>
        </w:rPr>
        <w:t xml:space="preserve"> </w:t>
      </w:r>
      <w:r w:rsidRPr="006E388F">
        <w:rPr>
          <w:rFonts w:asciiTheme="majorBidi" w:hAnsiTheme="majorBidi" w:cstheme="majorBidi"/>
          <w:sz w:val="24"/>
          <w:szCs w:val="24"/>
          <w:lang w:val="en-GB"/>
        </w:rPr>
        <w:t xml:space="preserve">on the </w:t>
      </w:r>
      <w:r w:rsidRPr="006E388F">
        <w:rPr>
          <w:rFonts w:asciiTheme="majorBidi" w:hAnsiTheme="majorBidi" w:cstheme="majorBidi"/>
          <w:noProof/>
          <w:sz w:val="24"/>
          <w:szCs w:val="24"/>
          <w:lang w:val="en-GB"/>
        </w:rPr>
        <w:t>CTI</w:t>
      </w:r>
      <w:r w:rsidRPr="006E388F">
        <w:rPr>
          <w:rFonts w:asciiTheme="majorBidi" w:hAnsiTheme="majorBidi" w:cstheme="majorBidi"/>
          <w:sz w:val="24"/>
          <w:szCs w:val="24"/>
          <w:lang w:val="en-GB"/>
        </w:rPr>
        <w:t xml:space="preserve"> of Islamic banks.</w:t>
      </w:r>
    </w:p>
    <w:p w:rsidR="005C7D70" w:rsidRDefault="005C7D70" w:rsidP="005C7D70">
      <w:pPr>
        <w:pStyle w:val="BodyTextFirstIndent"/>
        <w:spacing w:line="240" w:lineRule="auto"/>
        <w:ind w:firstLine="567"/>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As discussed above, the hypotheses are formulated for examining the influence of corporate and Shari’ah governance mechanisms on the Islamic economic and financial performance (ROE, </w:t>
      </w:r>
      <w:r w:rsidRPr="006E388F">
        <w:rPr>
          <w:rFonts w:asciiTheme="majorBidi" w:hAnsiTheme="majorBidi" w:cstheme="majorBidi"/>
          <w:noProof/>
          <w:sz w:val="24"/>
          <w:szCs w:val="24"/>
          <w:lang w:val="en-GB"/>
        </w:rPr>
        <w:t>ROA,</w:t>
      </w:r>
      <w:r w:rsidRPr="006E388F">
        <w:rPr>
          <w:rFonts w:asciiTheme="majorBidi" w:hAnsiTheme="majorBidi" w:cstheme="majorBidi"/>
          <w:sz w:val="24"/>
          <w:szCs w:val="24"/>
          <w:lang w:val="en-GB"/>
        </w:rPr>
        <w:t xml:space="preserve"> and </w:t>
      </w:r>
      <w:r w:rsidRPr="006E388F">
        <w:rPr>
          <w:rFonts w:asciiTheme="majorBidi" w:hAnsiTheme="majorBidi" w:cstheme="majorBidi"/>
          <w:noProof/>
          <w:sz w:val="24"/>
          <w:szCs w:val="24"/>
          <w:lang w:val="en-GB"/>
        </w:rPr>
        <w:t>CTI</w:t>
      </w:r>
      <w:r w:rsidRPr="006E388F">
        <w:rPr>
          <w:rFonts w:asciiTheme="majorBidi" w:hAnsiTheme="majorBidi" w:cstheme="majorBidi"/>
          <w:sz w:val="24"/>
          <w:szCs w:val="24"/>
          <w:lang w:val="en-GB"/>
        </w:rPr>
        <w:t xml:space="preserve">) of Islamic banks in Malaysia. </w:t>
      </w:r>
    </w:p>
    <w:p w:rsidR="005C7D70" w:rsidRDefault="005C7D70" w:rsidP="006E388F">
      <w:pPr>
        <w:spacing w:line="240" w:lineRule="auto"/>
        <w:jc w:val="both"/>
        <w:rPr>
          <w:rFonts w:asciiTheme="majorBidi" w:hAnsiTheme="majorBidi" w:cstheme="majorBidi"/>
          <w:b/>
          <w:bCs/>
          <w:sz w:val="24"/>
          <w:szCs w:val="24"/>
          <w:lang w:val="en-GB"/>
        </w:rPr>
      </w:pPr>
    </w:p>
    <w:p w:rsidR="002E3FE2" w:rsidRPr="006E388F" w:rsidRDefault="00B53509" w:rsidP="006E388F">
      <w:pPr>
        <w:spacing w:after="0"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Research Methodology</w:t>
      </w:r>
    </w:p>
    <w:p w:rsidR="002E3FE2" w:rsidRPr="006E388F" w:rsidRDefault="002E3FE2" w:rsidP="006E388F">
      <w:pPr>
        <w:spacing w:after="0"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This </w:t>
      </w:r>
      <w:r w:rsidR="0076252C" w:rsidRPr="006E388F">
        <w:rPr>
          <w:rFonts w:asciiTheme="majorBidi" w:hAnsiTheme="majorBidi" w:cstheme="majorBidi"/>
          <w:sz w:val="24"/>
          <w:szCs w:val="24"/>
          <w:lang w:val="en-GB"/>
        </w:rPr>
        <w:t>study covers</w:t>
      </w:r>
      <w:r w:rsidRPr="006E388F">
        <w:rPr>
          <w:rFonts w:asciiTheme="majorBidi" w:hAnsiTheme="majorBidi" w:cstheme="majorBidi"/>
          <w:sz w:val="24"/>
          <w:szCs w:val="24"/>
          <w:lang w:val="en-GB"/>
        </w:rPr>
        <w:t xml:space="preserve"> an examination of the monitoring and control mechanisms of </w:t>
      </w:r>
      <w:r w:rsidR="0076252C" w:rsidRPr="006E388F">
        <w:rPr>
          <w:rFonts w:asciiTheme="majorBidi" w:hAnsiTheme="majorBidi" w:cstheme="majorBidi"/>
          <w:sz w:val="24"/>
          <w:szCs w:val="24"/>
          <w:lang w:val="en-GB"/>
        </w:rPr>
        <w:t xml:space="preserve">Corporate and </w:t>
      </w:r>
      <w:r w:rsidRPr="006E388F">
        <w:rPr>
          <w:rFonts w:asciiTheme="majorBidi" w:hAnsiTheme="majorBidi" w:cstheme="majorBidi"/>
          <w:sz w:val="24"/>
          <w:szCs w:val="24"/>
          <w:lang w:val="en-GB"/>
        </w:rPr>
        <w:t xml:space="preserve">Shari’ah governance amongst all Islamic financial institutions in Malaysia (excluding Takaful and re-takaful). </w:t>
      </w:r>
      <w:r w:rsidRPr="006E388F">
        <w:rPr>
          <w:rFonts w:asciiTheme="majorBidi" w:hAnsiTheme="majorBidi" w:cstheme="majorBidi"/>
          <w:noProof/>
          <w:sz w:val="24"/>
          <w:szCs w:val="24"/>
          <w:lang w:val="en-GB"/>
        </w:rPr>
        <w:t>Altogether</w:t>
      </w:r>
      <w:r w:rsidRPr="006E388F">
        <w:rPr>
          <w:rFonts w:asciiTheme="majorBidi" w:hAnsiTheme="majorBidi" w:cstheme="majorBidi"/>
          <w:sz w:val="24"/>
          <w:szCs w:val="24"/>
          <w:lang w:val="en-GB"/>
        </w:rPr>
        <w:t xml:space="preserve"> there are</w:t>
      </w:r>
      <w:r w:rsidR="00CB5853">
        <w:rPr>
          <w:rFonts w:asciiTheme="majorBidi" w:hAnsiTheme="majorBidi" w:cstheme="majorBidi"/>
          <w:sz w:val="24"/>
          <w:szCs w:val="24"/>
          <w:lang w:val="en-GB"/>
        </w:rPr>
        <w:t xml:space="preserve"> </w:t>
      </w:r>
      <w:r w:rsidRPr="006E388F">
        <w:rPr>
          <w:rFonts w:asciiTheme="majorBidi" w:hAnsiTheme="majorBidi" w:cstheme="majorBidi"/>
          <w:sz w:val="24"/>
          <w:szCs w:val="24"/>
          <w:lang w:val="en-GB"/>
        </w:rPr>
        <w:t>16 Islamic banks in Malaysia (BNM’s website assessed on 7</w:t>
      </w:r>
      <w:r w:rsidRPr="006E388F">
        <w:rPr>
          <w:rFonts w:asciiTheme="majorBidi" w:hAnsiTheme="majorBidi" w:cstheme="majorBidi"/>
          <w:sz w:val="24"/>
          <w:szCs w:val="24"/>
          <w:vertAlign w:val="superscript"/>
          <w:lang w:val="en-GB"/>
        </w:rPr>
        <w:t>th</w:t>
      </w:r>
      <w:r w:rsidRPr="006E388F">
        <w:rPr>
          <w:rFonts w:asciiTheme="majorBidi" w:hAnsiTheme="majorBidi" w:cstheme="majorBidi"/>
          <w:sz w:val="24"/>
          <w:szCs w:val="24"/>
          <w:lang w:val="en-GB"/>
        </w:rPr>
        <w:t xml:space="preserve"> December 20</w:t>
      </w:r>
      <w:r w:rsidR="006E388F">
        <w:rPr>
          <w:rFonts w:asciiTheme="majorBidi" w:hAnsiTheme="majorBidi" w:cstheme="majorBidi"/>
          <w:sz w:val="24"/>
          <w:szCs w:val="24"/>
          <w:lang w:val="en-GB"/>
        </w:rPr>
        <w:t xml:space="preserve">13); however, only 13 were </w:t>
      </w:r>
      <w:r w:rsidRPr="006E388F">
        <w:rPr>
          <w:rFonts w:asciiTheme="majorBidi" w:hAnsiTheme="majorBidi" w:cstheme="majorBidi"/>
          <w:sz w:val="24"/>
          <w:szCs w:val="24"/>
          <w:lang w:val="en-GB"/>
        </w:rPr>
        <w:t>taken as a sample for this study as t</w:t>
      </w:r>
      <w:r w:rsidR="0076252C" w:rsidRPr="006E388F">
        <w:rPr>
          <w:rFonts w:asciiTheme="majorBidi" w:hAnsiTheme="majorBidi" w:cstheme="majorBidi"/>
          <w:sz w:val="24"/>
          <w:szCs w:val="24"/>
          <w:lang w:val="en-GB"/>
        </w:rPr>
        <w:t>he remaining t</w:t>
      </w:r>
      <w:r w:rsidRPr="006E388F">
        <w:rPr>
          <w:rFonts w:asciiTheme="majorBidi" w:hAnsiTheme="majorBidi" w:cstheme="majorBidi"/>
          <w:sz w:val="24"/>
          <w:szCs w:val="24"/>
          <w:lang w:val="en-GB"/>
        </w:rPr>
        <w:t xml:space="preserve">hree (3) </w:t>
      </w:r>
      <w:r w:rsidR="0076252C" w:rsidRPr="006E388F">
        <w:rPr>
          <w:rFonts w:asciiTheme="majorBidi" w:hAnsiTheme="majorBidi" w:cstheme="majorBidi"/>
          <w:sz w:val="24"/>
          <w:szCs w:val="24"/>
          <w:lang w:val="en-GB"/>
        </w:rPr>
        <w:t>of them were not able to offer</w:t>
      </w:r>
      <w:r w:rsidRPr="006E388F">
        <w:rPr>
          <w:rFonts w:asciiTheme="majorBidi" w:hAnsiTheme="majorBidi" w:cstheme="majorBidi"/>
          <w:sz w:val="24"/>
          <w:szCs w:val="24"/>
          <w:lang w:val="en-GB"/>
        </w:rPr>
        <w:t xml:space="preserve"> </w:t>
      </w:r>
      <w:r w:rsidR="0076252C" w:rsidRPr="006E388F">
        <w:rPr>
          <w:rFonts w:asciiTheme="majorBidi" w:hAnsiTheme="majorBidi" w:cstheme="majorBidi"/>
          <w:sz w:val="24"/>
          <w:szCs w:val="24"/>
          <w:lang w:val="en-GB"/>
        </w:rPr>
        <w:t>the detailed information needed.</w:t>
      </w:r>
    </w:p>
    <w:p w:rsidR="00273ACC" w:rsidRPr="006E388F" w:rsidRDefault="00273ACC" w:rsidP="006E388F">
      <w:pPr>
        <w:pStyle w:val="Heading3"/>
        <w:numPr>
          <w:ilvl w:val="0"/>
          <w:numId w:val="0"/>
        </w:numPr>
        <w:spacing w:line="240" w:lineRule="auto"/>
        <w:ind w:left="567" w:hanging="567"/>
        <w:jc w:val="both"/>
        <w:rPr>
          <w:rFonts w:asciiTheme="majorBidi" w:hAnsiTheme="majorBidi" w:cstheme="majorBidi"/>
          <w:color w:val="0070C0"/>
          <w:szCs w:val="24"/>
          <w:lang w:val="en-GB"/>
        </w:rPr>
      </w:pPr>
    </w:p>
    <w:p w:rsidR="00A63BF9" w:rsidRPr="006E388F" w:rsidRDefault="00A63BF9" w:rsidP="006E388F">
      <w:pPr>
        <w:pStyle w:val="Heading3"/>
        <w:numPr>
          <w:ilvl w:val="0"/>
          <w:numId w:val="0"/>
        </w:numPr>
        <w:spacing w:line="240" w:lineRule="auto"/>
        <w:ind w:left="567" w:hanging="567"/>
        <w:jc w:val="both"/>
        <w:rPr>
          <w:rFonts w:asciiTheme="majorBidi" w:hAnsiTheme="majorBidi" w:cstheme="majorBidi"/>
          <w:szCs w:val="24"/>
          <w:lang w:val="en-GB"/>
        </w:rPr>
      </w:pPr>
      <w:r w:rsidRPr="006E388F">
        <w:rPr>
          <w:rFonts w:asciiTheme="majorBidi" w:hAnsiTheme="majorBidi" w:cstheme="majorBidi"/>
          <w:szCs w:val="24"/>
          <w:lang w:val="en-GB"/>
        </w:rPr>
        <w:t xml:space="preserve">Conceptual Definitions and Variables Measurement </w:t>
      </w:r>
    </w:p>
    <w:p w:rsidR="00A63BF9" w:rsidRDefault="00A63BF9" w:rsidP="006E388F">
      <w:pPr>
        <w:pStyle w:val="ParaAttribute12"/>
        <w:rPr>
          <w:rStyle w:val="CharAttribute2"/>
          <w:rFonts w:asciiTheme="majorBidi" w:eastAsia="Batang" w:hAnsiTheme="majorBidi" w:cstheme="majorBidi"/>
          <w:szCs w:val="24"/>
          <w:lang w:val="en-GB"/>
        </w:rPr>
      </w:pPr>
      <w:r w:rsidRPr="006E388F">
        <w:rPr>
          <w:rStyle w:val="CharAttribute2"/>
          <w:rFonts w:asciiTheme="majorBidi" w:eastAsia="Batang" w:hAnsiTheme="majorBidi" w:cstheme="majorBidi"/>
          <w:szCs w:val="24"/>
          <w:lang w:val="en-GB"/>
        </w:rPr>
        <w:t xml:space="preserve">The conceptual definitions from previous studies have been adopted </w:t>
      </w:r>
      <w:r w:rsidR="0076252C" w:rsidRPr="006E388F">
        <w:rPr>
          <w:rStyle w:val="CharAttribute2"/>
          <w:rFonts w:asciiTheme="majorBidi" w:eastAsia="Batang" w:hAnsiTheme="majorBidi" w:cstheme="majorBidi"/>
          <w:szCs w:val="24"/>
          <w:lang w:val="en-GB"/>
        </w:rPr>
        <w:t xml:space="preserve">to match accordingly to </w:t>
      </w:r>
      <w:r w:rsidR="009F0759" w:rsidRPr="006E388F">
        <w:rPr>
          <w:rStyle w:val="CharAttribute2"/>
          <w:rFonts w:asciiTheme="majorBidi" w:eastAsia="Batang" w:hAnsiTheme="majorBidi" w:cstheme="majorBidi"/>
          <w:szCs w:val="24"/>
          <w:lang w:val="en-GB"/>
        </w:rPr>
        <w:t>the current study. Tables 1 and 2 illustrate</w:t>
      </w:r>
      <w:r w:rsidRPr="006E388F">
        <w:rPr>
          <w:rStyle w:val="CharAttribute2"/>
          <w:rFonts w:asciiTheme="majorBidi" w:eastAsia="Batang" w:hAnsiTheme="majorBidi" w:cstheme="majorBidi"/>
          <w:szCs w:val="24"/>
          <w:lang w:val="en-GB"/>
        </w:rPr>
        <w:t xml:space="preserve"> the conceptual definition, code, and the operationalization of the research variables used in this study.</w:t>
      </w:r>
    </w:p>
    <w:p w:rsidR="00176589" w:rsidRDefault="00176589" w:rsidP="006E388F">
      <w:pPr>
        <w:pStyle w:val="ParaAttribute12"/>
        <w:rPr>
          <w:rStyle w:val="CharAttribute2"/>
          <w:rFonts w:asciiTheme="majorBidi" w:eastAsia="Batang" w:hAnsiTheme="majorBidi" w:cstheme="majorBidi"/>
          <w:szCs w:val="24"/>
          <w:lang w:val="en-GB"/>
        </w:rPr>
      </w:pPr>
    </w:p>
    <w:p w:rsidR="00176589" w:rsidRDefault="00176589" w:rsidP="006E388F">
      <w:pPr>
        <w:pStyle w:val="ParaAttribute12"/>
        <w:rPr>
          <w:rStyle w:val="CharAttribute2"/>
          <w:rFonts w:asciiTheme="majorBidi" w:eastAsia="Batang" w:hAnsiTheme="majorBidi" w:cstheme="majorBidi"/>
          <w:szCs w:val="24"/>
          <w:lang w:val="en-GB"/>
        </w:rPr>
      </w:pPr>
    </w:p>
    <w:p w:rsidR="00176589" w:rsidRPr="006E388F" w:rsidRDefault="00176589" w:rsidP="006E388F">
      <w:pPr>
        <w:pStyle w:val="ParaAttribute12"/>
        <w:rPr>
          <w:rStyle w:val="CharAttribute2"/>
          <w:rFonts w:asciiTheme="majorBidi" w:eastAsia="Batang" w:hAnsiTheme="majorBidi" w:cstheme="majorBidi"/>
          <w:szCs w:val="24"/>
          <w:lang w:val="en-GB"/>
        </w:rPr>
      </w:pPr>
    </w:p>
    <w:p w:rsidR="00A93748" w:rsidRPr="006E388F" w:rsidRDefault="00A93748" w:rsidP="006E388F">
      <w:pPr>
        <w:pStyle w:val="ParaAttribute12"/>
        <w:jc w:val="center"/>
        <w:rPr>
          <w:rFonts w:asciiTheme="majorBidi" w:hAnsiTheme="majorBidi" w:cstheme="majorBidi"/>
          <w:sz w:val="24"/>
          <w:szCs w:val="24"/>
          <w:lang w:val="en-GB"/>
        </w:rPr>
      </w:pPr>
      <w:bookmarkStart w:id="1" w:name="_Toc490685034"/>
      <w:bookmarkStart w:id="2" w:name="_Toc490910369"/>
    </w:p>
    <w:p w:rsidR="00A63BF9" w:rsidRPr="006E388F" w:rsidRDefault="00A63BF9" w:rsidP="006E388F">
      <w:pPr>
        <w:pStyle w:val="ParaAttribute12"/>
        <w:jc w:val="center"/>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Table 1 </w:t>
      </w:r>
      <w:r w:rsidRPr="006E388F">
        <w:rPr>
          <w:rStyle w:val="CharAttribute2"/>
          <w:rFonts w:asciiTheme="majorBidi" w:eastAsia="Batang" w:hAnsiTheme="majorBidi" w:cstheme="majorBidi"/>
          <w:szCs w:val="24"/>
          <w:lang w:val="en-GB"/>
        </w:rPr>
        <w:t xml:space="preserve">Conceptual Definition and Operationalization </w:t>
      </w:r>
      <w:r w:rsidRPr="006E388F">
        <w:rPr>
          <w:rFonts w:asciiTheme="majorBidi" w:hAnsiTheme="majorBidi" w:cstheme="majorBidi"/>
          <w:sz w:val="24"/>
          <w:szCs w:val="24"/>
          <w:lang w:val="en-GB"/>
        </w:rPr>
        <w:t>of Exogenous Variables</w:t>
      </w:r>
      <w:bookmarkEnd w:id="1"/>
      <w:bookmarkEnd w:id="2"/>
    </w:p>
    <w:tbl>
      <w:tblPr>
        <w:tblW w:w="0" w:type="auto"/>
        <w:tblBorders>
          <w:insideH w:val="single" w:sz="4" w:space="0" w:color="000000"/>
        </w:tblBorders>
        <w:tblLayout w:type="fixed"/>
        <w:tblLook w:val="0000" w:firstRow="0" w:lastRow="0" w:firstColumn="0" w:lastColumn="0" w:noHBand="0" w:noVBand="0"/>
      </w:tblPr>
      <w:tblGrid>
        <w:gridCol w:w="1951"/>
        <w:gridCol w:w="851"/>
        <w:gridCol w:w="3260"/>
        <w:gridCol w:w="2488"/>
      </w:tblGrid>
      <w:tr w:rsidR="00A93748" w:rsidRPr="006E388F" w:rsidTr="004550DC">
        <w:trPr>
          <w:trHeight w:val="120"/>
        </w:trPr>
        <w:tc>
          <w:tcPr>
            <w:tcW w:w="8550" w:type="dxa"/>
            <w:gridSpan w:val="4"/>
            <w:tcBorders>
              <w:top w:val="single" w:sz="4" w:space="0" w:color="auto"/>
              <w:bottom w:val="single" w:sz="4" w:space="0" w:color="000000"/>
            </w:tcBorders>
          </w:tcPr>
          <w:p w:rsidR="00A63BF9" w:rsidRPr="00176589" w:rsidRDefault="00A63BF9" w:rsidP="00176589">
            <w:pPr>
              <w:pStyle w:val="ParaAttribute8"/>
              <w:rPr>
                <w:rStyle w:val="CharAttribute53"/>
                <w:rFonts w:asciiTheme="majorBidi" w:eastAsia="Batang" w:hAnsiTheme="majorBidi" w:cstheme="majorBidi"/>
                <w:szCs w:val="22"/>
                <w:lang w:val="en-GB"/>
              </w:rPr>
            </w:pPr>
          </w:p>
          <w:p w:rsidR="00A63BF9" w:rsidRPr="00176589" w:rsidRDefault="00A63BF9" w:rsidP="00176589">
            <w:pPr>
              <w:pStyle w:val="ParaAttribute8"/>
              <w:jc w:val="center"/>
              <w:rPr>
                <w:rStyle w:val="CharAttribute53"/>
                <w:rFonts w:asciiTheme="majorBidi" w:eastAsia="Batang" w:hAnsiTheme="majorBidi" w:cstheme="majorBidi"/>
                <w:szCs w:val="22"/>
                <w:lang w:val="en-GB"/>
              </w:rPr>
            </w:pPr>
            <w:r w:rsidRPr="00176589">
              <w:rPr>
                <w:rStyle w:val="CharAttribute53"/>
                <w:rFonts w:asciiTheme="majorBidi" w:eastAsia="Batang" w:hAnsiTheme="majorBidi" w:cstheme="majorBidi"/>
                <w:szCs w:val="22"/>
                <w:lang w:val="en-GB"/>
              </w:rPr>
              <w:t xml:space="preserve">Summary of Variables, </w:t>
            </w:r>
            <w:r w:rsidRPr="00176589">
              <w:rPr>
                <w:rStyle w:val="CharAttribute53"/>
                <w:rFonts w:asciiTheme="majorBidi" w:eastAsia="Batang" w:hAnsiTheme="majorBidi" w:cstheme="majorBidi"/>
                <w:noProof/>
                <w:szCs w:val="22"/>
                <w:lang w:val="en-GB"/>
              </w:rPr>
              <w:t>Definition,</w:t>
            </w:r>
            <w:r w:rsidRPr="00176589">
              <w:rPr>
                <w:rStyle w:val="CharAttribute53"/>
                <w:rFonts w:asciiTheme="majorBidi" w:eastAsia="Batang" w:hAnsiTheme="majorBidi" w:cstheme="majorBidi"/>
                <w:szCs w:val="22"/>
                <w:lang w:val="en-GB"/>
              </w:rPr>
              <w:t xml:space="preserve"> and Operationalization</w:t>
            </w:r>
          </w:p>
          <w:p w:rsidR="00A63BF9" w:rsidRPr="00176589" w:rsidRDefault="00A63BF9" w:rsidP="00176589">
            <w:pPr>
              <w:pStyle w:val="ParaAttribute8"/>
              <w:rPr>
                <w:rFonts w:asciiTheme="majorBidi" w:hAnsiTheme="majorBidi" w:cstheme="majorBidi"/>
                <w:b/>
                <w:sz w:val="22"/>
                <w:szCs w:val="22"/>
                <w:lang w:val="en-GB"/>
              </w:rPr>
            </w:pPr>
          </w:p>
        </w:tc>
      </w:tr>
      <w:tr w:rsidR="00A63BF9" w:rsidRPr="006E388F" w:rsidTr="004550DC">
        <w:tc>
          <w:tcPr>
            <w:tcW w:w="8550" w:type="dxa"/>
            <w:gridSpan w:val="4"/>
            <w:tcBorders>
              <w:top w:val="single" w:sz="4" w:space="0" w:color="000000"/>
            </w:tcBorders>
          </w:tcPr>
          <w:p w:rsidR="00A63BF9" w:rsidRPr="00176589" w:rsidRDefault="00A63BF9" w:rsidP="00176589">
            <w:pPr>
              <w:pStyle w:val="ParaAttribute8"/>
              <w:rPr>
                <w:rStyle w:val="CharAttribute25"/>
                <w:rFonts w:asciiTheme="majorBidi" w:eastAsia="Batang" w:hAnsiTheme="majorBidi" w:cstheme="majorBidi"/>
                <w:b/>
                <w:bCs/>
                <w:szCs w:val="22"/>
                <w:lang w:val="en-GB"/>
              </w:rPr>
            </w:pPr>
          </w:p>
          <w:p w:rsidR="00A63BF9" w:rsidRPr="00176589" w:rsidRDefault="009F0759" w:rsidP="00176589">
            <w:pPr>
              <w:pStyle w:val="ParaAttribute8"/>
              <w:jc w:val="center"/>
              <w:rPr>
                <w:rStyle w:val="CharAttribute25"/>
                <w:rFonts w:asciiTheme="majorBidi" w:eastAsia="Batang" w:hAnsiTheme="majorBidi" w:cstheme="majorBidi"/>
                <w:szCs w:val="22"/>
                <w:lang w:val="en-GB"/>
              </w:rPr>
            </w:pPr>
            <w:r w:rsidRPr="00176589">
              <w:rPr>
                <w:rStyle w:val="CharAttribute25"/>
                <w:rFonts w:asciiTheme="majorBidi" w:eastAsia="Batang" w:hAnsiTheme="majorBidi" w:cstheme="majorBidi"/>
                <w:b/>
                <w:bCs/>
                <w:szCs w:val="22"/>
                <w:lang w:val="en-GB"/>
              </w:rPr>
              <w:t xml:space="preserve">CORPORATE AND </w:t>
            </w:r>
            <w:r w:rsidR="00A63BF9" w:rsidRPr="00176589">
              <w:rPr>
                <w:rStyle w:val="CharAttribute25"/>
                <w:rFonts w:asciiTheme="majorBidi" w:eastAsia="Batang" w:hAnsiTheme="majorBidi" w:cstheme="majorBidi"/>
                <w:b/>
                <w:bCs/>
                <w:szCs w:val="22"/>
                <w:lang w:val="en-GB"/>
              </w:rPr>
              <w:t>SHARI’AH GOVERNANCE MECHANISM</w:t>
            </w:r>
          </w:p>
          <w:p w:rsidR="00A63BF9" w:rsidRPr="00176589" w:rsidRDefault="00A63BF9" w:rsidP="00176589">
            <w:pPr>
              <w:pStyle w:val="ParaAttribute8"/>
              <w:rPr>
                <w:rStyle w:val="CharAttribute25"/>
                <w:rFonts w:asciiTheme="majorBidi" w:eastAsia="Batang" w:hAnsiTheme="majorBidi" w:cstheme="majorBidi"/>
                <w:szCs w:val="22"/>
                <w:lang w:val="en-GB"/>
              </w:rPr>
            </w:pPr>
          </w:p>
        </w:tc>
      </w:tr>
      <w:tr w:rsidR="00A63BF9" w:rsidRPr="006E388F" w:rsidTr="004550DC">
        <w:tc>
          <w:tcPr>
            <w:tcW w:w="1951" w:type="dxa"/>
            <w:tcBorders>
              <w:bottom w:val="single" w:sz="4" w:space="0" w:color="000000"/>
            </w:tcBorders>
          </w:tcPr>
          <w:p w:rsidR="00A63BF9" w:rsidRPr="00176589" w:rsidRDefault="00A63BF9" w:rsidP="00176589">
            <w:pPr>
              <w:pStyle w:val="ParaAttribute8"/>
              <w:rPr>
                <w:rStyle w:val="CharAttribute25"/>
                <w:rFonts w:asciiTheme="majorBidi" w:eastAsia="Batang" w:hAnsiTheme="majorBidi" w:cstheme="majorBidi"/>
                <w:b/>
                <w:bCs/>
                <w:szCs w:val="22"/>
                <w:lang w:val="en-GB"/>
              </w:rPr>
            </w:pPr>
          </w:p>
          <w:p w:rsidR="00A63BF9" w:rsidRPr="00176589" w:rsidRDefault="00A63BF9" w:rsidP="00176589">
            <w:pPr>
              <w:pStyle w:val="ParaAttribute8"/>
              <w:rPr>
                <w:rFonts w:asciiTheme="majorBidi" w:hAnsiTheme="majorBidi" w:cstheme="majorBidi"/>
                <w:b/>
                <w:bCs/>
                <w:sz w:val="22"/>
                <w:szCs w:val="22"/>
                <w:lang w:val="en-GB"/>
              </w:rPr>
            </w:pPr>
            <w:r w:rsidRPr="00176589">
              <w:rPr>
                <w:rStyle w:val="CharAttribute25"/>
                <w:rFonts w:asciiTheme="majorBidi" w:eastAsia="Batang" w:hAnsiTheme="majorBidi" w:cstheme="majorBidi"/>
                <w:b/>
                <w:bCs/>
                <w:szCs w:val="22"/>
                <w:lang w:val="en-GB"/>
              </w:rPr>
              <w:t>Variable</w:t>
            </w:r>
          </w:p>
        </w:tc>
        <w:tc>
          <w:tcPr>
            <w:tcW w:w="851" w:type="dxa"/>
            <w:tcBorders>
              <w:bottom w:val="single" w:sz="4" w:space="0" w:color="000000"/>
            </w:tcBorders>
          </w:tcPr>
          <w:p w:rsidR="00A63BF9" w:rsidRPr="00176589" w:rsidRDefault="00A63BF9" w:rsidP="00176589">
            <w:pPr>
              <w:pStyle w:val="ParaAttribute8"/>
              <w:rPr>
                <w:rStyle w:val="CharAttribute25"/>
                <w:rFonts w:asciiTheme="majorBidi" w:eastAsia="Batang" w:hAnsiTheme="majorBidi" w:cstheme="majorBidi"/>
                <w:b/>
                <w:bCs/>
                <w:szCs w:val="22"/>
                <w:lang w:val="en-GB"/>
              </w:rPr>
            </w:pPr>
          </w:p>
          <w:p w:rsidR="00A63BF9" w:rsidRPr="00176589" w:rsidRDefault="00A63BF9" w:rsidP="00176589">
            <w:pPr>
              <w:pStyle w:val="ParaAttribute8"/>
              <w:rPr>
                <w:rFonts w:asciiTheme="majorBidi" w:hAnsiTheme="majorBidi" w:cstheme="majorBidi"/>
                <w:b/>
                <w:bCs/>
                <w:sz w:val="22"/>
                <w:szCs w:val="22"/>
                <w:lang w:val="en-GB"/>
              </w:rPr>
            </w:pPr>
            <w:r w:rsidRPr="00176589">
              <w:rPr>
                <w:rStyle w:val="CharAttribute25"/>
                <w:rFonts w:asciiTheme="majorBidi" w:eastAsia="Batang" w:hAnsiTheme="majorBidi" w:cstheme="majorBidi"/>
                <w:b/>
                <w:bCs/>
                <w:szCs w:val="22"/>
                <w:lang w:val="en-GB"/>
              </w:rPr>
              <w:t>Code</w:t>
            </w:r>
          </w:p>
        </w:tc>
        <w:tc>
          <w:tcPr>
            <w:tcW w:w="3260" w:type="dxa"/>
            <w:tcBorders>
              <w:bottom w:val="single" w:sz="4" w:space="0" w:color="000000"/>
            </w:tcBorders>
          </w:tcPr>
          <w:p w:rsidR="00A63BF9" w:rsidRPr="00176589" w:rsidRDefault="00A63BF9" w:rsidP="00176589">
            <w:pPr>
              <w:pStyle w:val="ParaAttribute8"/>
              <w:rPr>
                <w:rStyle w:val="CharAttribute25"/>
                <w:rFonts w:asciiTheme="majorBidi" w:eastAsia="Batang" w:hAnsiTheme="majorBidi" w:cstheme="majorBidi"/>
                <w:b/>
                <w:bCs/>
                <w:szCs w:val="22"/>
                <w:lang w:val="en-GB"/>
              </w:rPr>
            </w:pPr>
          </w:p>
          <w:p w:rsidR="00A63BF9" w:rsidRPr="00176589" w:rsidRDefault="00A63BF9" w:rsidP="00176589">
            <w:pPr>
              <w:pStyle w:val="ParaAttribute8"/>
              <w:rPr>
                <w:rFonts w:asciiTheme="majorBidi" w:hAnsiTheme="majorBidi" w:cstheme="majorBidi"/>
                <w:b/>
                <w:bCs/>
                <w:sz w:val="22"/>
                <w:szCs w:val="22"/>
                <w:lang w:val="en-GB"/>
              </w:rPr>
            </w:pPr>
            <w:r w:rsidRPr="00176589">
              <w:rPr>
                <w:rStyle w:val="CharAttribute25"/>
                <w:rFonts w:asciiTheme="majorBidi" w:eastAsia="Batang" w:hAnsiTheme="majorBidi" w:cstheme="majorBidi"/>
                <w:b/>
                <w:bCs/>
                <w:szCs w:val="22"/>
                <w:lang w:val="en-GB"/>
              </w:rPr>
              <w:t>Definition</w:t>
            </w:r>
          </w:p>
        </w:tc>
        <w:tc>
          <w:tcPr>
            <w:tcW w:w="2488" w:type="dxa"/>
            <w:tcBorders>
              <w:bottom w:val="single" w:sz="4" w:space="0" w:color="000000"/>
            </w:tcBorders>
          </w:tcPr>
          <w:p w:rsidR="00A63BF9" w:rsidRPr="00176589" w:rsidRDefault="00A63BF9" w:rsidP="00176589">
            <w:pPr>
              <w:pStyle w:val="ParaAttribute8"/>
              <w:rPr>
                <w:rFonts w:asciiTheme="majorBidi" w:hAnsiTheme="majorBidi" w:cstheme="majorBidi"/>
                <w:b/>
                <w:bCs/>
                <w:sz w:val="22"/>
                <w:szCs w:val="22"/>
                <w:lang w:val="en-GB"/>
              </w:rPr>
            </w:pPr>
          </w:p>
          <w:p w:rsidR="00A63BF9" w:rsidRPr="00176589" w:rsidRDefault="00A63BF9" w:rsidP="00176589">
            <w:pPr>
              <w:pStyle w:val="ParaAttribute8"/>
              <w:rPr>
                <w:rFonts w:asciiTheme="majorBidi" w:hAnsiTheme="majorBidi" w:cstheme="majorBidi"/>
                <w:b/>
                <w:bCs/>
                <w:sz w:val="22"/>
                <w:szCs w:val="22"/>
                <w:lang w:val="en-GB"/>
              </w:rPr>
            </w:pPr>
            <w:r w:rsidRPr="00176589">
              <w:rPr>
                <w:rFonts w:asciiTheme="majorBidi" w:hAnsiTheme="majorBidi" w:cstheme="majorBidi"/>
                <w:b/>
                <w:bCs/>
                <w:sz w:val="22"/>
                <w:szCs w:val="22"/>
                <w:lang w:val="en-GB"/>
              </w:rPr>
              <w:t>Operationalization</w:t>
            </w:r>
          </w:p>
          <w:p w:rsidR="00A63BF9" w:rsidRPr="00176589" w:rsidRDefault="00A63BF9" w:rsidP="00176589">
            <w:pPr>
              <w:pStyle w:val="ParaAttribute8"/>
              <w:rPr>
                <w:rFonts w:asciiTheme="majorBidi" w:hAnsiTheme="majorBidi" w:cstheme="majorBidi"/>
                <w:b/>
                <w:bCs/>
                <w:sz w:val="22"/>
                <w:szCs w:val="22"/>
                <w:lang w:val="en-GB"/>
              </w:rPr>
            </w:pPr>
          </w:p>
        </w:tc>
      </w:tr>
      <w:tr w:rsidR="00A93748" w:rsidRPr="006E388F" w:rsidTr="004550DC">
        <w:tc>
          <w:tcPr>
            <w:tcW w:w="1951"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Board Size</w:t>
            </w:r>
          </w:p>
        </w:tc>
        <w:tc>
          <w:tcPr>
            <w:tcW w:w="851"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BS</w:t>
            </w:r>
          </w:p>
        </w:tc>
        <w:tc>
          <w:tcPr>
            <w:tcW w:w="3260"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 xml:space="preserve">The total number of directors </w:t>
            </w:r>
            <w:r w:rsidRPr="00176589">
              <w:rPr>
                <w:rFonts w:asciiTheme="majorBidi" w:hAnsiTheme="majorBidi" w:cstheme="majorBidi"/>
                <w:sz w:val="22"/>
                <w:szCs w:val="22"/>
                <w:lang w:val="en-GB"/>
              </w:rPr>
              <w:t>sitting on the board.</w:t>
            </w:r>
          </w:p>
          <w:p w:rsidR="00A93748" w:rsidRPr="00176589" w:rsidRDefault="00A93748"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(Mollah and Zaman, 2015; Wasiuzzaman and Gunasegaran, 2013; Pathan and Faff, 2013; Andres and Vallelado, 2008; Adam and Mehran, 2005; Adam and Mehran, 2003; Belkhir, 2009; Mahmood and Abbas, 2011; Iqbal and Zaheer, 2012; Al-Shammari and Al-Sultan, 2009; Kyeboah and Biekpe, 2006)</w:t>
            </w:r>
          </w:p>
          <w:p w:rsidR="00A93748" w:rsidRPr="00176589" w:rsidRDefault="00A93748" w:rsidP="00176589">
            <w:pPr>
              <w:pStyle w:val="ParaAttribute8"/>
              <w:rPr>
                <w:rFonts w:asciiTheme="majorBidi" w:hAnsiTheme="majorBidi" w:cstheme="majorBidi"/>
                <w:sz w:val="22"/>
                <w:szCs w:val="22"/>
                <w:lang w:val="en-GB"/>
              </w:rPr>
            </w:pPr>
          </w:p>
        </w:tc>
        <w:tc>
          <w:tcPr>
            <w:tcW w:w="2488"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Actual values</w:t>
            </w:r>
            <w:r w:rsidRPr="00176589">
              <w:rPr>
                <w:rFonts w:asciiTheme="majorBidi" w:hAnsiTheme="majorBidi" w:cstheme="majorBidi"/>
                <w:sz w:val="22"/>
                <w:szCs w:val="22"/>
                <w:lang w:val="en-GB"/>
              </w:rPr>
              <w:t>.</w:t>
            </w:r>
          </w:p>
        </w:tc>
      </w:tr>
      <w:tr w:rsidR="00A93748" w:rsidRPr="006E388F" w:rsidTr="004550DC">
        <w:tc>
          <w:tcPr>
            <w:tcW w:w="1951"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Board Composition- Independent Non-Executive Director</w:t>
            </w:r>
          </w:p>
        </w:tc>
        <w:tc>
          <w:tcPr>
            <w:tcW w:w="851"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NED</w:t>
            </w:r>
          </w:p>
        </w:tc>
        <w:tc>
          <w:tcPr>
            <w:tcW w:w="3260"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 xml:space="preserve">The proportion of independent NED to </w:t>
            </w:r>
            <w:r w:rsidRPr="00176589">
              <w:rPr>
                <w:rStyle w:val="CharAttribute25"/>
                <w:rFonts w:asciiTheme="majorBidi" w:eastAsia="Batang" w:hAnsiTheme="majorBidi" w:cstheme="majorBidi"/>
                <w:noProof/>
                <w:szCs w:val="22"/>
                <w:lang w:val="en-GB"/>
              </w:rPr>
              <w:t>total number</w:t>
            </w:r>
            <w:r w:rsidRPr="00176589">
              <w:rPr>
                <w:rStyle w:val="CharAttribute25"/>
                <w:rFonts w:asciiTheme="majorBidi" w:eastAsia="Batang" w:hAnsiTheme="majorBidi" w:cstheme="majorBidi"/>
                <w:szCs w:val="22"/>
                <w:lang w:val="en-GB"/>
              </w:rPr>
              <w:t xml:space="preserve"> of directors.</w:t>
            </w:r>
          </w:p>
          <w:p w:rsidR="00A93748" w:rsidRPr="00176589" w:rsidRDefault="00A93748"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(Mollah and Zaman, 2015; Pathan and Faff, 2013; Andres and Vallelado, 2008; Haniffa and Hudaib, 2006; Adam and Mehran, 2003; Pandya, 2011; Al-Saidi and Al-Sammari, 2013; Jensen and Meckling, 1976; Pearce and Zehra, 1992)</w:t>
            </w:r>
          </w:p>
          <w:p w:rsidR="00A93748" w:rsidRPr="00176589" w:rsidRDefault="00A93748" w:rsidP="00176589">
            <w:pPr>
              <w:pStyle w:val="ParaAttribute8"/>
              <w:rPr>
                <w:rFonts w:asciiTheme="majorBidi" w:hAnsiTheme="majorBidi" w:cstheme="majorBidi"/>
                <w:sz w:val="22"/>
                <w:szCs w:val="22"/>
                <w:lang w:val="en-GB"/>
              </w:rPr>
            </w:pPr>
          </w:p>
        </w:tc>
        <w:tc>
          <w:tcPr>
            <w:tcW w:w="2488" w:type="dxa"/>
            <w:tcBorders>
              <w:bottom w:val="single" w:sz="4" w:space="0" w:color="000000"/>
            </w:tcBorders>
          </w:tcPr>
          <w:p w:rsidR="00A93748" w:rsidRPr="00176589" w:rsidRDefault="006B7BE8" w:rsidP="00176589">
            <w:pPr>
              <w:pStyle w:val="ParaAttribute8"/>
              <w:rPr>
                <w:rFonts w:asciiTheme="majorBidi" w:hAnsiTheme="majorBidi" w:cstheme="majorBidi"/>
                <w:sz w:val="22"/>
                <w:szCs w:val="22"/>
                <w:lang w:val="en-GB"/>
              </w:rPr>
            </w:pPr>
            <w:r>
              <w:rPr>
                <w:rFonts w:asciiTheme="majorBidi" w:hAnsiTheme="majorBidi" w:cstheme="majorBidi"/>
                <w:noProof/>
                <w:sz w:val="22"/>
                <w:szCs w:val="22"/>
                <w:lang w:val="en-GB"/>
              </w:rPr>
              <w:t>The n</w:t>
            </w:r>
            <w:r w:rsidR="00A93748" w:rsidRPr="00176589">
              <w:rPr>
                <w:rFonts w:asciiTheme="majorBidi" w:hAnsiTheme="majorBidi" w:cstheme="majorBidi"/>
                <w:noProof/>
                <w:sz w:val="22"/>
                <w:szCs w:val="22"/>
                <w:lang w:val="en-GB"/>
              </w:rPr>
              <w:t>umber</w:t>
            </w:r>
            <w:r w:rsidR="00A93748" w:rsidRPr="00176589">
              <w:rPr>
                <w:rFonts w:asciiTheme="majorBidi" w:hAnsiTheme="majorBidi" w:cstheme="majorBidi"/>
                <w:sz w:val="22"/>
                <w:szCs w:val="22"/>
                <w:lang w:val="en-GB"/>
              </w:rPr>
              <w:t xml:space="preserve"> of independent non-executive directors/Total number of directors on the board.</w:t>
            </w:r>
          </w:p>
        </w:tc>
      </w:tr>
      <w:tr w:rsidR="00A93748" w:rsidRPr="006E388F" w:rsidTr="004550DC">
        <w:tc>
          <w:tcPr>
            <w:tcW w:w="1951"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Board Competency</w:t>
            </w:r>
          </w:p>
        </w:tc>
        <w:tc>
          <w:tcPr>
            <w:tcW w:w="851"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BC</w:t>
            </w:r>
          </w:p>
        </w:tc>
        <w:tc>
          <w:tcPr>
            <w:tcW w:w="3260"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Fonts w:asciiTheme="majorBidi" w:hAnsiTheme="majorBidi" w:cstheme="majorBidi"/>
                <w:noProof/>
                <w:sz w:val="22"/>
                <w:szCs w:val="22"/>
                <w:lang w:val="en-GB"/>
              </w:rPr>
              <w:t>The qualification</w:t>
            </w:r>
            <w:r w:rsidRPr="00176589">
              <w:rPr>
                <w:rFonts w:asciiTheme="majorBidi" w:hAnsiTheme="majorBidi" w:cstheme="majorBidi"/>
                <w:sz w:val="22"/>
                <w:szCs w:val="22"/>
                <w:lang w:val="en-GB"/>
              </w:rPr>
              <w:t xml:space="preserve"> of the boards.</w:t>
            </w:r>
          </w:p>
          <w:p w:rsidR="00A93748" w:rsidRPr="00176589" w:rsidRDefault="00A93748"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(Bank Negara Malaysia; Magalhaes and Al-Saad, 2013)</w:t>
            </w:r>
          </w:p>
        </w:tc>
        <w:tc>
          <w:tcPr>
            <w:tcW w:w="2488" w:type="dxa"/>
            <w:tcBorders>
              <w:bottom w:val="single" w:sz="4" w:space="0" w:color="000000"/>
            </w:tcBorders>
          </w:tcPr>
          <w:p w:rsidR="00A93748" w:rsidRPr="00176589" w:rsidRDefault="006B7BE8" w:rsidP="00176589">
            <w:pPr>
              <w:pStyle w:val="ParaAttribute8"/>
              <w:rPr>
                <w:rFonts w:asciiTheme="majorBidi" w:hAnsiTheme="majorBidi" w:cstheme="majorBidi"/>
                <w:sz w:val="22"/>
                <w:szCs w:val="22"/>
                <w:lang w:val="en-GB"/>
              </w:rPr>
            </w:pPr>
            <w:r>
              <w:rPr>
                <w:rStyle w:val="CharAttribute25"/>
                <w:rFonts w:asciiTheme="majorBidi" w:eastAsia="Batang" w:hAnsiTheme="majorBidi" w:cstheme="majorBidi"/>
                <w:noProof/>
                <w:szCs w:val="22"/>
                <w:lang w:val="en-GB"/>
              </w:rPr>
              <w:t>The n</w:t>
            </w:r>
            <w:r w:rsidR="00A93748" w:rsidRPr="00176589">
              <w:rPr>
                <w:rStyle w:val="CharAttribute25"/>
                <w:rFonts w:asciiTheme="majorBidi" w:eastAsia="Batang" w:hAnsiTheme="majorBidi" w:cstheme="majorBidi"/>
                <w:noProof/>
                <w:szCs w:val="22"/>
                <w:lang w:val="en-GB"/>
              </w:rPr>
              <w:t>umber</w:t>
            </w:r>
            <w:r w:rsidR="00A93748" w:rsidRPr="00176589">
              <w:rPr>
                <w:rStyle w:val="CharAttribute25"/>
                <w:rFonts w:asciiTheme="majorBidi" w:eastAsia="Batang" w:hAnsiTheme="majorBidi" w:cstheme="majorBidi"/>
                <w:szCs w:val="22"/>
                <w:lang w:val="en-GB"/>
              </w:rPr>
              <w:t xml:space="preserve"> of directors with a qualification from finance, accounting, legal, business management, information technology, investment management</w:t>
            </w:r>
            <w:r w:rsidR="00A93748" w:rsidRPr="00176589">
              <w:rPr>
                <w:rFonts w:asciiTheme="majorBidi" w:hAnsiTheme="majorBidi" w:cstheme="majorBidi"/>
                <w:sz w:val="22"/>
                <w:szCs w:val="22"/>
                <w:lang w:val="en-GB"/>
              </w:rPr>
              <w:t>/ Total number of directors on the board.</w:t>
            </w:r>
          </w:p>
        </w:tc>
      </w:tr>
      <w:tr w:rsidR="00A93748" w:rsidRPr="006E388F" w:rsidTr="004550DC">
        <w:tc>
          <w:tcPr>
            <w:tcW w:w="1951"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lastRenderedPageBreak/>
              <w:t>Number of board meetings</w:t>
            </w:r>
          </w:p>
        </w:tc>
        <w:tc>
          <w:tcPr>
            <w:tcW w:w="851"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Style w:val="CharAttribute25"/>
                <w:rFonts w:asciiTheme="majorBidi" w:eastAsia="Batang" w:hAnsiTheme="majorBidi" w:cstheme="majorBidi"/>
                <w:szCs w:val="22"/>
                <w:lang w:val="en-GB"/>
              </w:rPr>
              <w:t>BM</w:t>
            </w:r>
          </w:p>
        </w:tc>
        <w:tc>
          <w:tcPr>
            <w:tcW w:w="3260"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 xml:space="preserve">As a </w:t>
            </w:r>
            <w:r w:rsidRPr="00176589">
              <w:rPr>
                <w:rFonts w:asciiTheme="majorBidi" w:hAnsiTheme="majorBidi" w:cstheme="majorBidi"/>
                <w:noProof/>
                <w:sz w:val="22"/>
                <w:szCs w:val="22"/>
                <w:lang w:val="en-GB"/>
              </w:rPr>
              <w:t>proxy</w:t>
            </w:r>
            <w:r w:rsidRPr="00176589">
              <w:rPr>
                <w:rFonts w:asciiTheme="majorBidi" w:hAnsiTheme="majorBidi" w:cstheme="majorBidi"/>
                <w:sz w:val="22"/>
                <w:szCs w:val="22"/>
                <w:lang w:val="en-GB"/>
              </w:rPr>
              <w:t xml:space="preserve"> for the functioning of boards.</w:t>
            </w:r>
          </w:p>
          <w:p w:rsidR="00A93748" w:rsidRPr="00176589" w:rsidRDefault="00A93748"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(Andress and Vallelado, 2008; Adam and Mehran, 2003)</w:t>
            </w:r>
          </w:p>
          <w:p w:rsidR="00A93748" w:rsidRPr="00176589" w:rsidRDefault="00A93748" w:rsidP="00176589">
            <w:pPr>
              <w:pStyle w:val="ParaAttribute8"/>
              <w:rPr>
                <w:rFonts w:asciiTheme="majorBidi" w:hAnsiTheme="majorBidi" w:cstheme="majorBidi"/>
                <w:sz w:val="22"/>
                <w:szCs w:val="22"/>
                <w:lang w:val="en-GB"/>
              </w:rPr>
            </w:pPr>
          </w:p>
        </w:tc>
        <w:tc>
          <w:tcPr>
            <w:tcW w:w="2488" w:type="dxa"/>
            <w:tcBorders>
              <w:bottom w:val="single" w:sz="4" w:space="0" w:color="000000"/>
            </w:tcBorders>
          </w:tcPr>
          <w:p w:rsidR="00A93748" w:rsidRPr="00176589" w:rsidRDefault="00A93748"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Actual values -</w:t>
            </w:r>
          </w:p>
          <w:p w:rsidR="00A93748" w:rsidRPr="00176589" w:rsidRDefault="00A93748"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The number of board meetings held during the year.</w:t>
            </w:r>
          </w:p>
          <w:p w:rsidR="00A93748" w:rsidRPr="00176589" w:rsidRDefault="00A93748" w:rsidP="00176589">
            <w:pPr>
              <w:pStyle w:val="ParaAttribute8"/>
              <w:rPr>
                <w:rFonts w:asciiTheme="majorBidi" w:hAnsiTheme="majorBidi" w:cstheme="majorBidi"/>
                <w:sz w:val="22"/>
                <w:szCs w:val="22"/>
                <w:lang w:val="en-GB"/>
              </w:rPr>
            </w:pPr>
          </w:p>
        </w:tc>
      </w:tr>
      <w:tr w:rsidR="00A63BF9" w:rsidRPr="006E388F" w:rsidTr="004550DC">
        <w:tc>
          <w:tcPr>
            <w:tcW w:w="1951" w:type="dxa"/>
            <w:tcBorders>
              <w:bottom w:val="single" w:sz="4" w:space="0" w:color="000000"/>
            </w:tcBorders>
          </w:tcPr>
          <w:p w:rsidR="00A63BF9" w:rsidRPr="00176589" w:rsidRDefault="00A63BF9" w:rsidP="00176589">
            <w:pPr>
              <w:pStyle w:val="ParaAttribute8"/>
              <w:rPr>
                <w:rStyle w:val="CharAttribute25"/>
                <w:rFonts w:asciiTheme="majorBidi" w:eastAsia="Batang" w:hAnsiTheme="majorBidi" w:cstheme="majorBidi"/>
                <w:szCs w:val="22"/>
                <w:lang w:val="en-GB"/>
              </w:rPr>
            </w:pPr>
            <w:r w:rsidRPr="00176589">
              <w:rPr>
                <w:rStyle w:val="CharAttribute25"/>
                <w:rFonts w:asciiTheme="majorBidi" w:eastAsia="Batang" w:hAnsiTheme="majorBidi" w:cstheme="majorBidi"/>
                <w:szCs w:val="22"/>
                <w:lang w:val="en-GB"/>
              </w:rPr>
              <w:t>Shari’ah Board Size</w:t>
            </w:r>
          </w:p>
        </w:tc>
        <w:tc>
          <w:tcPr>
            <w:tcW w:w="851" w:type="dxa"/>
            <w:tcBorders>
              <w:bottom w:val="single" w:sz="4" w:space="0" w:color="000000"/>
            </w:tcBorders>
          </w:tcPr>
          <w:p w:rsidR="00A63BF9" w:rsidRPr="00176589" w:rsidRDefault="00A63BF9" w:rsidP="00176589">
            <w:pPr>
              <w:pStyle w:val="ParaAttribute8"/>
              <w:rPr>
                <w:rStyle w:val="CharAttribute25"/>
                <w:rFonts w:asciiTheme="majorBidi" w:eastAsia="Batang" w:hAnsiTheme="majorBidi" w:cstheme="majorBidi"/>
                <w:szCs w:val="22"/>
                <w:lang w:val="en-GB"/>
              </w:rPr>
            </w:pPr>
            <w:r w:rsidRPr="00176589">
              <w:rPr>
                <w:rStyle w:val="CharAttribute25"/>
                <w:rFonts w:asciiTheme="majorBidi" w:eastAsia="Batang" w:hAnsiTheme="majorBidi" w:cstheme="majorBidi"/>
                <w:szCs w:val="22"/>
                <w:lang w:val="en-GB"/>
              </w:rPr>
              <w:t>SBS</w:t>
            </w:r>
          </w:p>
        </w:tc>
        <w:tc>
          <w:tcPr>
            <w:tcW w:w="3260" w:type="dxa"/>
            <w:tcBorders>
              <w:bottom w:val="single" w:sz="4" w:space="0" w:color="000000"/>
            </w:tcBorders>
          </w:tcPr>
          <w:p w:rsidR="00A63BF9" w:rsidRPr="00176589" w:rsidRDefault="00A63BF9" w:rsidP="00176589">
            <w:pPr>
              <w:pStyle w:val="ParaAttribute28"/>
              <w:ind w:firstLine="0"/>
              <w:rPr>
                <w:rFonts w:asciiTheme="majorBidi" w:hAnsiTheme="majorBidi" w:cstheme="majorBidi"/>
                <w:sz w:val="22"/>
                <w:szCs w:val="22"/>
                <w:lang w:val="en-GB"/>
              </w:rPr>
            </w:pPr>
            <w:r w:rsidRPr="00176589">
              <w:rPr>
                <w:rFonts w:asciiTheme="majorBidi" w:hAnsiTheme="majorBidi" w:cstheme="majorBidi"/>
                <w:sz w:val="22"/>
                <w:szCs w:val="22"/>
                <w:lang w:val="en-GB"/>
              </w:rPr>
              <w:t>The total number of Shari’ah board members in the respective Islamic banks.</w:t>
            </w:r>
          </w:p>
          <w:p w:rsidR="00A63BF9" w:rsidRPr="00176589" w:rsidRDefault="00A63BF9" w:rsidP="00176589">
            <w:pPr>
              <w:pStyle w:val="ParaAttribute28"/>
              <w:ind w:firstLine="0"/>
              <w:rPr>
                <w:rFonts w:asciiTheme="majorBidi" w:hAnsiTheme="majorBidi" w:cstheme="majorBidi"/>
                <w:sz w:val="22"/>
                <w:szCs w:val="22"/>
                <w:lang w:val="en-GB"/>
              </w:rPr>
            </w:pPr>
            <w:r w:rsidRPr="00176589">
              <w:rPr>
                <w:rFonts w:asciiTheme="majorBidi" w:hAnsiTheme="majorBidi" w:cstheme="majorBidi"/>
                <w:sz w:val="22"/>
                <w:szCs w:val="22"/>
                <w:lang w:val="en-GB"/>
              </w:rPr>
              <w:t>(Mollah and Zaman, 2015; Rammal, 2010; Sheikh Hassan, 2012; Darmadi, 2013; Safieddine, 2009; Haniffa and Hudaib, 2007; Nienhaus, 2007; Magalhaes and Al-Saad, 2013)</w:t>
            </w:r>
          </w:p>
          <w:p w:rsidR="00A63BF9" w:rsidRPr="00176589" w:rsidRDefault="00A63BF9" w:rsidP="00176589">
            <w:pPr>
              <w:pStyle w:val="ParaAttribute8"/>
              <w:rPr>
                <w:rFonts w:asciiTheme="majorBidi" w:hAnsiTheme="majorBidi" w:cstheme="majorBidi"/>
                <w:sz w:val="22"/>
                <w:szCs w:val="22"/>
                <w:lang w:val="en-GB"/>
              </w:rPr>
            </w:pPr>
          </w:p>
        </w:tc>
        <w:tc>
          <w:tcPr>
            <w:tcW w:w="2488" w:type="dxa"/>
            <w:tcBorders>
              <w:bottom w:val="single" w:sz="4" w:space="0" w:color="000000"/>
            </w:tcBorders>
          </w:tcPr>
          <w:p w:rsidR="00A63BF9" w:rsidRPr="00176589" w:rsidRDefault="00A63BF9"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Actual values -</w:t>
            </w:r>
          </w:p>
          <w:p w:rsidR="00A63BF9" w:rsidRPr="00176589" w:rsidRDefault="00A63BF9"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The number of Shari’ah board members</w:t>
            </w:r>
          </w:p>
        </w:tc>
      </w:tr>
      <w:tr w:rsidR="00A63BF9" w:rsidRPr="006E388F" w:rsidTr="004550DC">
        <w:tc>
          <w:tcPr>
            <w:tcW w:w="1951" w:type="dxa"/>
            <w:tcBorders>
              <w:top w:val="single" w:sz="4" w:space="0" w:color="000000"/>
              <w:bottom w:val="single" w:sz="4" w:space="0" w:color="auto"/>
            </w:tcBorders>
          </w:tcPr>
          <w:p w:rsidR="00A63BF9" w:rsidRPr="00176589" w:rsidRDefault="00A63BF9" w:rsidP="00176589">
            <w:pPr>
              <w:pStyle w:val="ParaAttribute8"/>
              <w:rPr>
                <w:rStyle w:val="CharAttribute25"/>
                <w:rFonts w:asciiTheme="majorBidi" w:eastAsia="Batang" w:hAnsiTheme="majorBidi" w:cstheme="majorBidi"/>
                <w:szCs w:val="22"/>
                <w:lang w:val="en-GB"/>
              </w:rPr>
            </w:pPr>
            <w:r w:rsidRPr="00176589">
              <w:rPr>
                <w:rStyle w:val="CharAttribute25"/>
                <w:rFonts w:asciiTheme="majorBidi" w:eastAsia="Batang" w:hAnsiTheme="majorBidi" w:cstheme="majorBidi"/>
                <w:szCs w:val="22"/>
                <w:lang w:val="en-GB"/>
              </w:rPr>
              <w:t>Shari’ah Board Meetings</w:t>
            </w:r>
          </w:p>
        </w:tc>
        <w:tc>
          <w:tcPr>
            <w:tcW w:w="851" w:type="dxa"/>
            <w:tcBorders>
              <w:top w:val="single" w:sz="4" w:space="0" w:color="000000"/>
              <w:bottom w:val="single" w:sz="4" w:space="0" w:color="auto"/>
            </w:tcBorders>
          </w:tcPr>
          <w:p w:rsidR="00A63BF9" w:rsidRPr="00176589" w:rsidRDefault="00A63BF9" w:rsidP="00176589">
            <w:pPr>
              <w:pStyle w:val="ParaAttribute8"/>
              <w:rPr>
                <w:rStyle w:val="CharAttribute25"/>
                <w:rFonts w:asciiTheme="majorBidi" w:eastAsia="Batang" w:hAnsiTheme="majorBidi" w:cstheme="majorBidi"/>
                <w:szCs w:val="22"/>
                <w:lang w:val="en-GB"/>
              </w:rPr>
            </w:pPr>
            <w:r w:rsidRPr="00176589">
              <w:rPr>
                <w:rStyle w:val="CharAttribute25"/>
                <w:rFonts w:asciiTheme="majorBidi" w:eastAsia="Batang" w:hAnsiTheme="majorBidi" w:cstheme="majorBidi"/>
                <w:szCs w:val="22"/>
                <w:lang w:val="en-GB"/>
              </w:rPr>
              <w:t>SBM</w:t>
            </w:r>
          </w:p>
        </w:tc>
        <w:tc>
          <w:tcPr>
            <w:tcW w:w="3260" w:type="dxa"/>
            <w:tcBorders>
              <w:top w:val="single" w:sz="4" w:space="0" w:color="000000"/>
              <w:bottom w:val="single" w:sz="4" w:space="0" w:color="auto"/>
            </w:tcBorders>
          </w:tcPr>
          <w:p w:rsidR="00A63BF9" w:rsidRPr="00176589" w:rsidRDefault="00A63BF9"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 xml:space="preserve">As a </w:t>
            </w:r>
            <w:r w:rsidRPr="00176589">
              <w:rPr>
                <w:rFonts w:asciiTheme="majorBidi" w:hAnsiTheme="majorBidi" w:cstheme="majorBidi"/>
                <w:noProof/>
                <w:sz w:val="22"/>
                <w:szCs w:val="22"/>
                <w:lang w:val="en-GB"/>
              </w:rPr>
              <w:t>proxy</w:t>
            </w:r>
            <w:r w:rsidRPr="00176589">
              <w:rPr>
                <w:rFonts w:asciiTheme="majorBidi" w:hAnsiTheme="majorBidi" w:cstheme="majorBidi"/>
                <w:sz w:val="22"/>
                <w:szCs w:val="22"/>
                <w:lang w:val="en-GB"/>
              </w:rPr>
              <w:t xml:space="preserve"> for the functioning of Shari’ah boards.</w:t>
            </w:r>
          </w:p>
          <w:p w:rsidR="00A63BF9" w:rsidRPr="00176589" w:rsidRDefault="00A63BF9"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(Andress and Vallelado, 2008; Adam and Mehran, 2003)</w:t>
            </w:r>
          </w:p>
          <w:p w:rsidR="00A63BF9" w:rsidRPr="00176589" w:rsidRDefault="00A63BF9" w:rsidP="00176589">
            <w:pPr>
              <w:pStyle w:val="ParaAttribute8"/>
              <w:rPr>
                <w:rFonts w:asciiTheme="majorBidi" w:hAnsiTheme="majorBidi" w:cstheme="majorBidi"/>
                <w:sz w:val="22"/>
                <w:szCs w:val="22"/>
              </w:rPr>
            </w:pPr>
          </w:p>
        </w:tc>
        <w:tc>
          <w:tcPr>
            <w:tcW w:w="2488" w:type="dxa"/>
            <w:tcBorders>
              <w:top w:val="single" w:sz="4" w:space="0" w:color="000000"/>
              <w:bottom w:val="single" w:sz="4" w:space="0" w:color="auto"/>
            </w:tcBorders>
          </w:tcPr>
          <w:p w:rsidR="00A63BF9" w:rsidRPr="00176589" w:rsidRDefault="00A63BF9"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Actual values -</w:t>
            </w:r>
          </w:p>
          <w:p w:rsidR="00A63BF9" w:rsidRPr="00176589" w:rsidRDefault="00A63BF9" w:rsidP="00176589">
            <w:pPr>
              <w:pStyle w:val="ParaAttribute8"/>
              <w:rPr>
                <w:rFonts w:asciiTheme="majorBidi" w:hAnsiTheme="majorBidi" w:cstheme="majorBidi"/>
                <w:sz w:val="22"/>
                <w:szCs w:val="22"/>
                <w:lang w:val="en-GB"/>
              </w:rPr>
            </w:pPr>
            <w:r w:rsidRPr="00176589">
              <w:rPr>
                <w:rFonts w:asciiTheme="majorBidi" w:hAnsiTheme="majorBidi" w:cstheme="majorBidi"/>
                <w:sz w:val="22"/>
                <w:szCs w:val="22"/>
                <w:lang w:val="en-GB"/>
              </w:rPr>
              <w:t>The number of Shari’ah board meetings held during the year.</w:t>
            </w:r>
          </w:p>
        </w:tc>
      </w:tr>
    </w:tbl>
    <w:p w:rsidR="00A63BF9" w:rsidRPr="006E388F" w:rsidRDefault="00A63BF9" w:rsidP="006E388F">
      <w:pPr>
        <w:pStyle w:val="ParaAttribute36"/>
        <w:jc w:val="both"/>
        <w:rPr>
          <w:rStyle w:val="CharAttribute2"/>
          <w:rFonts w:asciiTheme="majorBidi" w:eastAsia="Batang" w:hAnsiTheme="majorBidi" w:cstheme="majorBidi"/>
          <w:b/>
          <w:bCs/>
          <w:szCs w:val="24"/>
          <w:lang w:val="en-GB"/>
        </w:rPr>
      </w:pPr>
      <w:r w:rsidRPr="006E388F">
        <w:rPr>
          <w:rStyle w:val="CharAttribute2"/>
          <w:rFonts w:asciiTheme="majorBidi" w:eastAsia="Batang" w:hAnsiTheme="majorBidi" w:cstheme="majorBidi"/>
          <w:b/>
          <w:bCs/>
          <w:szCs w:val="24"/>
          <w:lang w:val="en-GB"/>
        </w:rPr>
        <w:t>Op</w:t>
      </w:r>
      <w:r w:rsidR="00004C6C" w:rsidRPr="006E388F">
        <w:rPr>
          <w:rStyle w:val="CharAttribute2"/>
          <w:rFonts w:asciiTheme="majorBidi" w:eastAsia="Batang" w:hAnsiTheme="majorBidi" w:cstheme="majorBidi"/>
          <w:b/>
          <w:bCs/>
          <w:szCs w:val="24"/>
          <w:lang w:val="en-GB"/>
        </w:rPr>
        <w:t xml:space="preserve">erationalizing Financial </w:t>
      </w:r>
      <w:r w:rsidRPr="006E388F">
        <w:rPr>
          <w:rStyle w:val="CharAttribute2"/>
          <w:rFonts w:asciiTheme="majorBidi" w:eastAsia="Batang" w:hAnsiTheme="majorBidi" w:cstheme="majorBidi"/>
          <w:b/>
          <w:bCs/>
          <w:szCs w:val="24"/>
          <w:lang w:val="en-GB"/>
        </w:rPr>
        <w:t>Performance</w:t>
      </w:r>
    </w:p>
    <w:p w:rsidR="00A63BF9" w:rsidRPr="00AD30CF" w:rsidRDefault="00A63BF9" w:rsidP="006E388F">
      <w:pPr>
        <w:pStyle w:val="ParaAttribute36"/>
        <w:spacing w:before="0" w:after="0"/>
        <w:jc w:val="both"/>
        <w:rPr>
          <w:rStyle w:val="CharAttribute2"/>
          <w:rFonts w:asciiTheme="majorBidi" w:eastAsia="Batang" w:hAnsiTheme="majorBidi" w:cstheme="majorBidi"/>
          <w:color w:val="0070C0"/>
          <w:szCs w:val="24"/>
          <w:lang w:val="en-GB"/>
        </w:rPr>
      </w:pPr>
      <w:r w:rsidRPr="006E388F">
        <w:rPr>
          <w:rStyle w:val="CharAttribute2"/>
          <w:rFonts w:asciiTheme="majorBidi" w:eastAsia="Batang" w:hAnsiTheme="majorBidi" w:cstheme="majorBidi"/>
          <w:szCs w:val="24"/>
          <w:lang w:val="en-GB"/>
        </w:rPr>
        <w:t>Table 2 explains the code, definition and formula ratio of endogenous variables for this study.</w:t>
      </w:r>
      <w:r w:rsidR="00A93748" w:rsidRPr="006E388F">
        <w:rPr>
          <w:rStyle w:val="CharAttribute2"/>
          <w:rFonts w:asciiTheme="majorBidi" w:eastAsia="Batang" w:hAnsiTheme="majorBidi" w:cstheme="majorBidi"/>
          <w:szCs w:val="24"/>
          <w:lang w:val="en-GB"/>
        </w:rPr>
        <w:t xml:space="preserve"> Ratio analysis </w:t>
      </w:r>
      <w:r w:rsidR="00A93748" w:rsidRPr="00EF0510">
        <w:rPr>
          <w:rStyle w:val="CharAttribute2"/>
          <w:rFonts w:asciiTheme="majorBidi" w:eastAsia="Batang" w:hAnsiTheme="majorBidi" w:cstheme="majorBidi"/>
          <w:szCs w:val="24"/>
          <w:lang w:val="en-GB"/>
        </w:rPr>
        <w:t>is a crucial</w:t>
      </w:r>
      <w:r w:rsidRPr="00EF0510">
        <w:rPr>
          <w:rStyle w:val="CharAttribute2"/>
          <w:rFonts w:asciiTheme="majorBidi" w:eastAsia="Batang" w:hAnsiTheme="majorBidi" w:cstheme="majorBidi"/>
          <w:szCs w:val="24"/>
          <w:lang w:val="en-GB"/>
        </w:rPr>
        <w:t xml:space="preserve"> method to examine the</w:t>
      </w:r>
      <w:r w:rsidR="00A93748" w:rsidRPr="00EF0510">
        <w:rPr>
          <w:rStyle w:val="CharAttribute2"/>
          <w:rFonts w:asciiTheme="majorBidi" w:eastAsia="Batang" w:hAnsiTheme="majorBidi" w:cstheme="majorBidi"/>
          <w:szCs w:val="24"/>
          <w:lang w:val="en-GB"/>
        </w:rPr>
        <w:t xml:space="preserve"> financial</w:t>
      </w:r>
      <w:r w:rsidRPr="00EF0510">
        <w:rPr>
          <w:rStyle w:val="CharAttribute2"/>
          <w:rFonts w:asciiTheme="majorBidi" w:eastAsia="Batang" w:hAnsiTheme="majorBidi" w:cstheme="majorBidi"/>
          <w:szCs w:val="24"/>
          <w:lang w:val="en-GB"/>
        </w:rPr>
        <w:t xml:space="preserve"> performance of any corporation. By combining with the trend analysis, it provides a health indicator for banks and for predicting their future performance. </w:t>
      </w:r>
      <w:r w:rsidR="00D909EA" w:rsidRPr="00EF0510">
        <w:rPr>
          <w:rStyle w:val="CharAttribute2"/>
          <w:rFonts w:asciiTheme="majorBidi" w:eastAsia="Batang" w:hAnsiTheme="majorBidi" w:cstheme="majorBidi"/>
          <w:szCs w:val="24"/>
          <w:lang w:val="en-GB"/>
        </w:rPr>
        <w:t xml:space="preserve">Other studies such as Kamukama, Ahiauzu and Ntayi (2010) </w:t>
      </w:r>
      <w:r w:rsidR="00AD30CF" w:rsidRPr="00EF0510">
        <w:rPr>
          <w:rStyle w:val="CharAttribute2"/>
          <w:rFonts w:asciiTheme="majorBidi" w:eastAsia="Batang" w:hAnsiTheme="majorBidi" w:cstheme="majorBidi"/>
          <w:szCs w:val="24"/>
          <w:lang w:val="en-GB"/>
        </w:rPr>
        <w:t>and Nkundabanyanga</w:t>
      </w:r>
      <w:r w:rsidR="00D909EA" w:rsidRPr="00EF0510">
        <w:rPr>
          <w:rStyle w:val="CharAttribute2"/>
          <w:rFonts w:asciiTheme="majorBidi" w:eastAsia="Batang" w:hAnsiTheme="majorBidi" w:cstheme="majorBidi"/>
          <w:szCs w:val="24"/>
          <w:lang w:val="en-GB"/>
        </w:rPr>
        <w:t>, Ntayi, Ahiauzu and Sejjaaka (2014) use q</w:t>
      </w:r>
      <w:r w:rsidR="006B7BE8" w:rsidRPr="00EF0510">
        <w:rPr>
          <w:rStyle w:val="CharAttribute2"/>
          <w:rFonts w:asciiTheme="majorBidi" w:eastAsia="Batang" w:hAnsiTheme="majorBidi" w:cstheme="majorBidi"/>
          <w:szCs w:val="24"/>
          <w:lang w:val="en-GB"/>
        </w:rPr>
        <w:t>uestionnaire with a five-point L</w:t>
      </w:r>
      <w:r w:rsidR="00D909EA" w:rsidRPr="00EF0510">
        <w:rPr>
          <w:rStyle w:val="CharAttribute2"/>
          <w:rFonts w:asciiTheme="majorBidi" w:eastAsia="Batang" w:hAnsiTheme="majorBidi" w:cstheme="majorBidi"/>
          <w:szCs w:val="24"/>
          <w:lang w:val="en-GB"/>
        </w:rPr>
        <w:t>ikert-type scale ranging from 5 (strongly agree) to 1 (strongly disagree)</w:t>
      </w:r>
      <w:r w:rsidR="00AD30CF" w:rsidRPr="00EF0510">
        <w:rPr>
          <w:rStyle w:val="CharAttribute2"/>
          <w:rFonts w:asciiTheme="majorBidi" w:eastAsia="Batang" w:hAnsiTheme="majorBidi" w:cstheme="majorBidi"/>
          <w:szCs w:val="24"/>
          <w:lang w:val="en-GB"/>
        </w:rPr>
        <w:t xml:space="preserve"> in measuring financial performance. Prior distribution, the questionnaire validated by experts.</w:t>
      </w:r>
    </w:p>
    <w:p w:rsidR="00A63BF9" w:rsidRDefault="00A63BF9" w:rsidP="006E388F">
      <w:pPr>
        <w:pStyle w:val="ParaAttribute36"/>
        <w:spacing w:before="0" w:after="0"/>
        <w:jc w:val="both"/>
        <w:rPr>
          <w:rStyle w:val="CharAttribute2"/>
          <w:rFonts w:asciiTheme="majorBidi" w:eastAsia="Batang" w:hAnsiTheme="majorBidi" w:cstheme="majorBidi"/>
          <w:color w:val="0070C0"/>
          <w:szCs w:val="24"/>
          <w:lang w:val="en-GB"/>
        </w:rPr>
      </w:pPr>
    </w:p>
    <w:p w:rsidR="00AA69F7" w:rsidRDefault="00AA69F7" w:rsidP="006E388F">
      <w:pPr>
        <w:pStyle w:val="ParaAttribute36"/>
        <w:spacing w:before="0" w:after="0"/>
        <w:jc w:val="both"/>
        <w:rPr>
          <w:rStyle w:val="CharAttribute2"/>
          <w:rFonts w:asciiTheme="majorBidi" w:eastAsia="Batang" w:hAnsiTheme="majorBidi" w:cstheme="majorBidi"/>
          <w:color w:val="0070C0"/>
          <w:szCs w:val="24"/>
          <w:lang w:val="en-GB"/>
        </w:rPr>
      </w:pPr>
    </w:p>
    <w:p w:rsidR="00A63BF9" w:rsidRPr="006E388F" w:rsidRDefault="00A63BF9" w:rsidP="006E388F">
      <w:pPr>
        <w:pStyle w:val="ParaAttribute36"/>
        <w:spacing w:before="0" w:after="0"/>
        <w:rPr>
          <w:rFonts w:asciiTheme="majorBidi" w:hAnsiTheme="majorBidi" w:cstheme="majorBidi"/>
          <w:sz w:val="24"/>
          <w:szCs w:val="24"/>
          <w:lang w:val="en-GB"/>
        </w:rPr>
      </w:pPr>
      <w:bookmarkStart w:id="3" w:name="_Toc490685035"/>
      <w:bookmarkStart w:id="4" w:name="_Toc490910370"/>
      <w:r w:rsidRPr="006E388F">
        <w:rPr>
          <w:rFonts w:asciiTheme="majorBidi" w:hAnsiTheme="majorBidi" w:cstheme="majorBidi"/>
          <w:sz w:val="24"/>
          <w:szCs w:val="24"/>
          <w:lang w:val="en-GB"/>
        </w:rPr>
        <w:t>Table 2</w:t>
      </w:r>
      <w:r w:rsidRPr="006E388F">
        <w:rPr>
          <w:rStyle w:val="CharAttribute2"/>
          <w:rFonts w:asciiTheme="majorBidi" w:eastAsia="Batang" w:hAnsiTheme="majorBidi" w:cstheme="majorBidi"/>
          <w:szCs w:val="24"/>
          <w:lang w:val="en-GB"/>
        </w:rPr>
        <w:t xml:space="preserve"> Code, Conceptual Definition and Operationalization </w:t>
      </w:r>
      <w:r w:rsidRPr="006E388F">
        <w:rPr>
          <w:rFonts w:asciiTheme="majorBidi" w:hAnsiTheme="majorBidi" w:cstheme="majorBidi"/>
          <w:sz w:val="24"/>
          <w:szCs w:val="24"/>
          <w:lang w:val="en-GB"/>
        </w:rPr>
        <w:t>of</w:t>
      </w:r>
      <w:bookmarkEnd w:id="3"/>
      <w:bookmarkEnd w:id="4"/>
    </w:p>
    <w:p w:rsidR="00A63BF9" w:rsidRPr="006E388F" w:rsidRDefault="00A63BF9" w:rsidP="006E388F">
      <w:pPr>
        <w:pStyle w:val="Caption"/>
        <w:spacing w:before="0" w:after="0"/>
        <w:rPr>
          <w:rFonts w:asciiTheme="majorBidi" w:hAnsiTheme="majorBidi" w:cstheme="majorBidi"/>
          <w:b w:val="0"/>
          <w:bCs w:val="0"/>
          <w:szCs w:val="24"/>
          <w:lang w:val="en-GB"/>
        </w:rPr>
      </w:pPr>
      <w:r w:rsidRPr="006E388F">
        <w:rPr>
          <w:rFonts w:asciiTheme="majorBidi" w:hAnsiTheme="majorBidi" w:cstheme="majorBidi"/>
          <w:b w:val="0"/>
          <w:bCs w:val="0"/>
          <w:szCs w:val="24"/>
          <w:lang w:val="en-GB"/>
        </w:rPr>
        <w:t>Endogenous Variables</w:t>
      </w:r>
    </w:p>
    <w:p w:rsidR="00A63BF9" w:rsidRPr="006E388F" w:rsidRDefault="00A63BF9" w:rsidP="006E388F">
      <w:pPr>
        <w:spacing w:line="240" w:lineRule="auto"/>
        <w:jc w:val="both"/>
        <w:rPr>
          <w:rFonts w:asciiTheme="majorBidi" w:hAnsiTheme="majorBidi" w:cstheme="majorBidi"/>
          <w:b/>
          <w:bCs/>
          <w:sz w:val="24"/>
          <w:szCs w:val="24"/>
          <w:lang w:val="en-GB"/>
        </w:rPr>
      </w:pPr>
    </w:p>
    <w:tbl>
      <w:tblPr>
        <w:tblW w:w="0" w:type="auto"/>
        <w:tblBorders>
          <w:top w:val="single" w:sz="4" w:space="0" w:color="auto"/>
          <w:insideH w:val="single" w:sz="4" w:space="0" w:color="000000"/>
        </w:tblBorders>
        <w:tblLayout w:type="fixed"/>
        <w:tblLook w:val="04A0" w:firstRow="1" w:lastRow="0" w:firstColumn="1" w:lastColumn="0" w:noHBand="0" w:noVBand="1"/>
      </w:tblPr>
      <w:tblGrid>
        <w:gridCol w:w="545"/>
        <w:gridCol w:w="2008"/>
        <w:gridCol w:w="816"/>
        <w:gridCol w:w="2409"/>
        <w:gridCol w:w="2772"/>
      </w:tblGrid>
      <w:tr w:rsidR="00A63BF9" w:rsidRPr="006E388F" w:rsidTr="004550DC">
        <w:tc>
          <w:tcPr>
            <w:tcW w:w="8550" w:type="dxa"/>
            <w:gridSpan w:val="5"/>
          </w:tcPr>
          <w:p w:rsidR="00A63BF9" w:rsidRPr="006E388F" w:rsidRDefault="00A93748" w:rsidP="006E388F">
            <w:pPr>
              <w:spacing w:line="240" w:lineRule="auto"/>
              <w:jc w:val="center"/>
              <w:rPr>
                <w:rFonts w:asciiTheme="majorBidi" w:hAnsiTheme="majorBidi" w:cstheme="majorBidi"/>
                <w:b/>
                <w:bCs/>
                <w:sz w:val="24"/>
                <w:szCs w:val="24"/>
                <w:lang w:val="en-GB"/>
              </w:rPr>
            </w:pPr>
            <w:r w:rsidRPr="006E388F">
              <w:rPr>
                <w:rFonts w:asciiTheme="majorBidi" w:hAnsiTheme="majorBidi" w:cstheme="majorBidi"/>
                <w:b/>
                <w:bCs/>
                <w:sz w:val="24"/>
                <w:szCs w:val="24"/>
                <w:lang w:val="en-GB"/>
              </w:rPr>
              <w:t>FINANCIAL</w:t>
            </w:r>
            <w:r w:rsidR="00A63BF9" w:rsidRPr="006E388F">
              <w:rPr>
                <w:rFonts w:asciiTheme="majorBidi" w:hAnsiTheme="majorBidi" w:cstheme="majorBidi"/>
                <w:b/>
                <w:bCs/>
                <w:sz w:val="24"/>
                <w:szCs w:val="24"/>
                <w:lang w:val="en-GB"/>
              </w:rPr>
              <w:t xml:space="preserve"> PERFORMANCE</w:t>
            </w:r>
          </w:p>
        </w:tc>
      </w:tr>
      <w:tr w:rsidR="00A63BF9" w:rsidRPr="006E388F" w:rsidTr="004550DC">
        <w:tc>
          <w:tcPr>
            <w:tcW w:w="545" w:type="dxa"/>
          </w:tcPr>
          <w:p w:rsidR="00A63BF9" w:rsidRPr="006E388F" w:rsidRDefault="00A63BF9" w:rsidP="006E388F">
            <w:pPr>
              <w:spacing w:line="240" w:lineRule="auto"/>
              <w:jc w:val="both"/>
              <w:rPr>
                <w:rFonts w:asciiTheme="majorBidi" w:hAnsiTheme="majorBidi" w:cstheme="majorBidi"/>
                <w:b/>
                <w:bCs/>
                <w:sz w:val="24"/>
                <w:szCs w:val="24"/>
                <w:lang w:val="en-GB"/>
              </w:rPr>
            </w:pPr>
          </w:p>
          <w:p w:rsidR="00A63BF9" w:rsidRPr="006E388F" w:rsidRDefault="00CB5853" w:rsidP="006E388F">
            <w:pPr>
              <w:spacing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No</w:t>
            </w:r>
          </w:p>
        </w:tc>
        <w:tc>
          <w:tcPr>
            <w:tcW w:w="2008" w:type="dxa"/>
          </w:tcPr>
          <w:p w:rsidR="00A63BF9" w:rsidRPr="006E388F" w:rsidRDefault="00A63BF9" w:rsidP="006E388F">
            <w:pPr>
              <w:spacing w:line="240" w:lineRule="auto"/>
              <w:jc w:val="both"/>
              <w:rPr>
                <w:rFonts w:asciiTheme="majorBidi" w:hAnsiTheme="majorBidi" w:cstheme="majorBidi"/>
                <w:b/>
                <w:bCs/>
                <w:sz w:val="24"/>
                <w:szCs w:val="24"/>
                <w:lang w:val="en-GB"/>
              </w:rPr>
            </w:pPr>
          </w:p>
          <w:p w:rsidR="00A63BF9" w:rsidRPr="006E388F" w:rsidRDefault="00A93748" w:rsidP="006E388F">
            <w:pPr>
              <w:spacing w:line="240" w:lineRule="auto"/>
              <w:jc w:val="both"/>
              <w:rPr>
                <w:rFonts w:asciiTheme="majorBidi" w:hAnsiTheme="majorBidi" w:cstheme="majorBidi"/>
                <w:b/>
                <w:bCs/>
                <w:sz w:val="24"/>
                <w:szCs w:val="24"/>
                <w:lang w:val="en-GB"/>
              </w:rPr>
            </w:pPr>
            <w:r w:rsidRPr="006E388F">
              <w:rPr>
                <w:rFonts w:asciiTheme="majorBidi" w:hAnsiTheme="majorBidi" w:cstheme="majorBidi"/>
                <w:b/>
                <w:bCs/>
                <w:sz w:val="24"/>
                <w:szCs w:val="24"/>
                <w:lang w:val="en-GB"/>
              </w:rPr>
              <w:t>Financial Ratios</w:t>
            </w:r>
          </w:p>
        </w:tc>
        <w:tc>
          <w:tcPr>
            <w:tcW w:w="816" w:type="dxa"/>
          </w:tcPr>
          <w:p w:rsidR="00A63BF9" w:rsidRPr="006E388F" w:rsidRDefault="00A63BF9" w:rsidP="006E388F">
            <w:pPr>
              <w:spacing w:line="240" w:lineRule="auto"/>
              <w:jc w:val="both"/>
              <w:rPr>
                <w:rFonts w:asciiTheme="majorBidi" w:hAnsiTheme="majorBidi" w:cstheme="majorBidi"/>
                <w:b/>
                <w:bCs/>
                <w:sz w:val="24"/>
                <w:szCs w:val="24"/>
                <w:lang w:val="en-GB"/>
              </w:rPr>
            </w:pPr>
          </w:p>
          <w:p w:rsidR="00A63BF9" w:rsidRPr="006E388F" w:rsidRDefault="00A63BF9" w:rsidP="006E388F">
            <w:pPr>
              <w:pStyle w:val="BodyText"/>
              <w:spacing w:line="240" w:lineRule="auto"/>
              <w:rPr>
                <w:rFonts w:asciiTheme="majorBidi" w:hAnsiTheme="majorBidi" w:cstheme="majorBidi"/>
                <w:b/>
                <w:bCs/>
                <w:lang w:val="en-GB"/>
              </w:rPr>
            </w:pPr>
            <w:r w:rsidRPr="006E388F">
              <w:rPr>
                <w:rFonts w:asciiTheme="majorBidi" w:hAnsiTheme="majorBidi" w:cstheme="majorBidi"/>
                <w:b/>
                <w:bCs/>
                <w:lang w:val="en-GB"/>
              </w:rPr>
              <w:t>Code</w:t>
            </w:r>
          </w:p>
        </w:tc>
        <w:tc>
          <w:tcPr>
            <w:tcW w:w="2409" w:type="dxa"/>
          </w:tcPr>
          <w:p w:rsidR="00A63BF9" w:rsidRPr="006E388F" w:rsidRDefault="00A63BF9" w:rsidP="006E388F">
            <w:pPr>
              <w:spacing w:line="240" w:lineRule="auto"/>
              <w:jc w:val="both"/>
              <w:rPr>
                <w:rFonts w:asciiTheme="majorBidi" w:hAnsiTheme="majorBidi" w:cstheme="majorBidi"/>
                <w:b/>
                <w:bCs/>
                <w:sz w:val="24"/>
                <w:szCs w:val="24"/>
                <w:lang w:val="en-GB"/>
              </w:rPr>
            </w:pPr>
          </w:p>
          <w:p w:rsidR="00A63BF9" w:rsidRPr="006E388F" w:rsidRDefault="00A63BF9" w:rsidP="006E388F">
            <w:pPr>
              <w:spacing w:line="240" w:lineRule="auto"/>
              <w:jc w:val="both"/>
              <w:rPr>
                <w:rFonts w:asciiTheme="majorBidi" w:hAnsiTheme="majorBidi" w:cstheme="majorBidi"/>
                <w:b/>
                <w:bCs/>
                <w:sz w:val="24"/>
                <w:szCs w:val="24"/>
                <w:lang w:val="en-GB"/>
              </w:rPr>
            </w:pPr>
            <w:r w:rsidRPr="006E388F">
              <w:rPr>
                <w:rFonts w:asciiTheme="majorBidi" w:hAnsiTheme="majorBidi" w:cstheme="majorBidi"/>
                <w:b/>
                <w:bCs/>
                <w:sz w:val="24"/>
                <w:szCs w:val="24"/>
                <w:lang w:val="en-GB"/>
              </w:rPr>
              <w:t>Conceptual Definition</w:t>
            </w:r>
          </w:p>
        </w:tc>
        <w:tc>
          <w:tcPr>
            <w:tcW w:w="2772" w:type="dxa"/>
          </w:tcPr>
          <w:p w:rsidR="00A63BF9" w:rsidRPr="006E388F" w:rsidRDefault="00A63BF9" w:rsidP="006E388F">
            <w:pPr>
              <w:spacing w:line="240" w:lineRule="auto"/>
              <w:jc w:val="both"/>
              <w:rPr>
                <w:rFonts w:asciiTheme="majorBidi" w:hAnsiTheme="majorBidi" w:cstheme="majorBidi"/>
                <w:b/>
                <w:bCs/>
                <w:sz w:val="24"/>
                <w:szCs w:val="24"/>
                <w:lang w:val="en-GB"/>
              </w:rPr>
            </w:pPr>
          </w:p>
          <w:p w:rsidR="00A63BF9" w:rsidRPr="006E388F" w:rsidRDefault="00A63BF9" w:rsidP="006E388F">
            <w:pPr>
              <w:spacing w:line="240" w:lineRule="auto"/>
              <w:jc w:val="both"/>
              <w:rPr>
                <w:rFonts w:asciiTheme="majorBidi" w:hAnsiTheme="majorBidi" w:cstheme="majorBidi"/>
                <w:b/>
                <w:bCs/>
                <w:sz w:val="24"/>
                <w:szCs w:val="24"/>
                <w:lang w:val="en-GB"/>
              </w:rPr>
            </w:pPr>
            <w:r w:rsidRPr="006E388F">
              <w:rPr>
                <w:rFonts w:asciiTheme="majorBidi" w:hAnsiTheme="majorBidi" w:cstheme="majorBidi"/>
                <w:b/>
                <w:bCs/>
                <w:sz w:val="24"/>
                <w:szCs w:val="24"/>
                <w:lang w:val="en-GB"/>
              </w:rPr>
              <w:t>Formula Ratio and Its Indicators</w:t>
            </w:r>
          </w:p>
        </w:tc>
      </w:tr>
      <w:tr w:rsidR="00A93748" w:rsidRPr="006E388F" w:rsidTr="004550DC">
        <w:tc>
          <w:tcPr>
            <w:tcW w:w="545" w:type="dxa"/>
          </w:tcPr>
          <w:p w:rsidR="00A93748" w:rsidRPr="006E388F" w:rsidRDefault="00A93748" w:rsidP="006E388F">
            <w:pPr>
              <w:spacing w:after="0" w:line="240" w:lineRule="auto"/>
              <w:jc w:val="both"/>
              <w:rPr>
                <w:rFonts w:asciiTheme="majorBidi" w:hAnsiTheme="majorBidi" w:cstheme="majorBidi"/>
                <w:sz w:val="24"/>
                <w:szCs w:val="24"/>
                <w:lang w:val="en-GB"/>
              </w:rPr>
            </w:pPr>
          </w:p>
          <w:p w:rsidR="00A93748" w:rsidRPr="006E388F" w:rsidRDefault="00A93748" w:rsidP="006E388F">
            <w:pPr>
              <w:spacing w:after="0"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1.</w:t>
            </w:r>
          </w:p>
        </w:tc>
        <w:tc>
          <w:tcPr>
            <w:tcW w:w="2008" w:type="dxa"/>
          </w:tcPr>
          <w:p w:rsidR="00A93748" w:rsidRPr="006E388F" w:rsidRDefault="00A93748" w:rsidP="006E388F">
            <w:pPr>
              <w:spacing w:line="240" w:lineRule="auto"/>
              <w:rPr>
                <w:rFonts w:asciiTheme="majorBidi" w:hAnsiTheme="majorBidi" w:cstheme="majorBidi"/>
                <w:sz w:val="24"/>
                <w:szCs w:val="24"/>
                <w:lang w:val="en-GB"/>
              </w:rPr>
            </w:pPr>
          </w:p>
          <w:p w:rsidR="00A93748" w:rsidRPr="006E388F" w:rsidRDefault="00A93748" w:rsidP="006E388F">
            <w:pPr>
              <w:spacing w:line="240" w:lineRule="auto"/>
              <w:rPr>
                <w:rFonts w:asciiTheme="majorBidi" w:hAnsiTheme="majorBidi" w:cstheme="majorBidi"/>
                <w:sz w:val="24"/>
                <w:szCs w:val="24"/>
                <w:lang w:val="en-GB"/>
              </w:rPr>
            </w:pPr>
            <w:r w:rsidRPr="006E388F">
              <w:rPr>
                <w:rFonts w:asciiTheme="majorBidi" w:hAnsiTheme="majorBidi" w:cstheme="majorBidi"/>
                <w:sz w:val="24"/>
                <w:szCs w:val="24"/>
                <w:lang w:val="en-GB"/>
              </w:rPr>
              <w:t>RETURN ON ASSETS</w:t>
            </w:r>
          </w:p>
          <w:p w:rsidR="00A93748" w:rsidRPr="006E388F" w:rsidRDefault="00A93748" w:rsidP="006E388F">
            <w:pPr>
              <w:pStyle w:val="BodyText"/>
              <w:spacing w:line="240" w:lineRule="auto"/>
              <w:rPr>
                <w:rFonts w:asciiTheme="majorBidi" w:hAnsiTheme="majorBidi" w:cstheme="majorBidi"/>
                <w:lang w:val="en-GB"/>
              </w:rPr>
            </w:pPr>
          </w:p>
        </w:tc>
        <w:tc>
          <w:tcPr>
            <w:tcW w:w="816" w:type="dxa"/>
          </w:tcPr>
          <w:p w:rsidR="00A93748" w:rsidRPr="006E388F" w:rsidRDefault="00A93748" w:rsidP="006E388F">
            <w:pPr>
              <w:spacing w:line="240" w:lineRule="auto"/>
              <w:rPr>
                <w:rFonts w:asciiTheme="majorBidi" w:hAnsiTheme="majorBidi" w:cstheme="majorBidi"/>
                <w:sz w:val="24"/>
                <w:szCs w:val="24"/>
                <w:lang w:val="en-GB"/>
              </w:rPr>
            </w:pPr>
          </w:p>
          <w:p w:rsidR="00A93748" w:rsidRPr="006E388F" w:rsidRDefault="00A93748" w:rsidP="006E388F">
            <w:pPr>
              <w:spacing w:line="240" w:lineRule="auto"/>
              <w:rPr>
                <w:rFonts w:asciiTheme="majorBidi" w:hAnsiTheme="majorBidi" w:cstheme="majorBidi"/>
                <w:sz w:val="24"/>
                <w:szCs w:val="24"/>
                <w:lang w:val="en-GB"/>
              </w:rPr>
            </w:pPr>
            <w:r w:rsidRPr="006E388F">
              <w:rPr>
                <w:rFonts w:asciiTheme="majorBidi" w:hAnsiTheme="majorBidi" w:cstheme="majorBidi"/>
                <w:sz w:val="24"/>
                <w:szCs w:val="24"/>
                <w:lang w:val="en-GB"/>
              </w:rPr>
              <w:t>ROA</w:t>
            </w:r>
          </w:p>
        </w:tc>
        <w:tc>
          <w:tcPr>
            <w:tcW w:w="2409" w:type="dxa"/>
          </w:tcPr>
          <w:p w:rsidR="00A93748" w:rsidRPr="006E388F" w:rsidRDefault="00A93748" w:rsidP="006E388F">
            <w:pPr>
              <w:spacing w:line="240" w:lineRule="auto"/>
              <w:jc w:val="both"/>
              <w:rPr>
                <w:rFonts w:asciiTheme="majorBidi" w:hAnsiTheme="majorBidi" w:cstheme="majorBidi"/>
                <w:sz w:val="24"/>
                <w:szCs w:val="24"/>
                <w:lang w:val="en-GB"/>
              </w:rPr>
            </w:pPr>
          </w:p>
          <w:p w:rsidR="00A93748" w:rsidRPr="006E388F" w:rsidRDefault="00A93748" w:rsidP="006E388F">
            <w:pPr>
              <w:spacing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Profit earned per RM of total assets.</w:t>
            </w:r>
          </w:p>
          <w:p w:rsidR="00A93748" w:rsidRPr="006E388F" w:rsidRDefault="00A93748" w:rsidP="006E388F">
            <w:pPr>
              <w:pStyle w:val="BodyText"/>
              <w:spacing w:line="240" w:lineRule="auto"/>
              <w:rPr>
                <w:rFonts w:asciiTheme="majorBidi" w:hAnsiTheme="majorBidi" w:cstheme="majorBidi"/>
                <w:lang w:val="en-GB"/>
              </w:rPr>
            </w:pPr>
            <w:r w:rsidRPr="006E388F">
              <w:rPr>
                <w:rFonts w:asciiTheme="majorBidi" w:hAnsiTheme="majorBidi" w:cstheme="majorBidi"/>
                <w:lang w:val="en-GB"/>
              </w:rPr>
              <w:t xml:space="preserve">(Belkhir, 2009; Pandya, 2011; Athanasoglou et al., 2008; Sufian and Hasbulah, 2009; Sufian, 2010; Samad and Hassan, 1999; </w:t>
            </w:r>
            <w:r w:rsidRPr="006E388F">
              <w:rPr>
                <w:rFonts w:asciiTheme="majorBidi" w:hAnsiTheme="majorBidi" w:cstheme="majorBidi"/>
                <w:lang w:val="en-GB"/>
              </w:rPr>
              <w:lastRenderedPageBreak/>
              <w:t>Rosly and Bakar, 2003; Coleman et al., 2007; Hassan &amp; Bashir, 2005; Alsultan et al., 2005; Iqbal, 2001</w:t>
            </w:r>
            <w:r w:rsidR="00D909EA">
              <w:rPr>
                <w:rFonts w:asciiTheme="majorBidi" w:hAnsiTheme="majorBidi" w:cstheme="majorBidi"/>
                <w:lang w:val="en-GB"/>
              </w:rPr>
              <w:t xml:space="preserve">; </w:t>
            </w:r>
            <w:r w:rsidR="00D909EA" w:rsidRPr="00D909EA">
              <w:rPr>
                <w:rFonts w:asciiTheme="majorBidi" w:hAnsiTheme="majorBidi" w:cstheme="majorBidi"/>
                <w:color w:val="0070C0"/>
                <w:lang w:val="en-GB"/>
              </w:rPr>
              <w:t>Bontis, 2000</w:t>
            </w:r>
            <w:r w:rsidR="00926543">
              <w:rPr>
                <w:rFonts w:asciiTheme="majorBidi" w:hAnsiTheme="majorBidi" w:cstheme="majorBidi"/>
                <w:color w:val="0070C0"/>
                <w:lang w:val="en-GB"/>
              </w:rPr>
              <w:t>; Clarke, 2011</w:t>
            </w:r>
            <w:r w:rsidRPr="006E388F">
              <w:rPr>
                <w:rFonts w:asciiTheme="majorBidi" w:hAnsiTheme="majorBidi" w:cstheme="majorBidi"/>
                <w:lang w:val="en-GB"/>
              </w:rPr>
              <w:t>)</w:t>
            </w:r>
          </w:p>
          <w:p w:rsidR="00A93748" w:rsidRPr="006E388F" w:rsidRDefault="00A93748" w:rsidP="006E388F">
            <w:pPr>
              <w:pStyle w:val="BodyTextFirstIndent"/>
              <w:spacing w:line="240" w:lineRule="auto"/>
              <w:ind w:firstLine="0"/>
              <w:jc w:val="both"/>
              <w:rPr>
                <w:rFonts w:asciiTheme="majorBidi" w:hAnsiTheme="majorBidi" w:cstheme="majorBidi"/>
                <w:sz w:val="24"/>
                <w:szCs w:val="24"/>
                <w:lang w:val="en-GB"/>
              </w:rPr>
            </w:pPr>
          </w:p>
        </w:tc>
        <w:tc>
          <w:tcPr>
            <w:tcW w:w="2772" w:type="dxa"/>
          </w:tcPr>
          <w:p w:rsidR="00A93748" w:rsidRPr="006E388F" w:rsidRDefault="00A93748" w:rsidP="006E388F">
            <w:pPr>
              <w:pStyle w:val="ParaAttribute8"/>
              <w:rPr>
                <w:rStyle w:val="CharAttribute25"/>
                <w:rFonts w:asciiTheme="majorBidi" w:eastAsia="Batang" w:hAnsiTheme="majorBidi" w:cstheme="majorBidi"/>
                <w:sz w:val="24"/>
                <w:szCs w:val="24"/>
                <w:lang w:val="en-GB"/>
              </w:rPr>
            </w:pPr>
          </w:p>
          <w:p w:rsidR="00A93748" w:rsidRPr="006E388F" w:rsidRDefault="00A93748" w:rsidP="006E388F">
            <w:pPr>
              <w:pStyle w:val="ParaAttribute8"/>
              <w:rPr>
                <w:rStyle w:val="CharAttribute25"/>
                <w:rFonts w:asciiTheme="majorBidi" w:eastAsia="Batang" w:hAnsiTheme="majorBidi" w:cstheme="majorBidi"/>
                <w:sz w:val="24"/>
                <w:szCs w:val="24"/>
                <w:lang w:val="en-GB"/>
              </w:rPr>
            </w:pPr>
            <w:r w:rsidRPr="006E388F">
              <w:rPr>
                <w:rStyle w:val="CharAttribute25"/>
                <w:rFonts w:asciiTheme="majorBidi" w:eastAsia="Batang" w:hAnsiTheme="majorBidi" w:cstheme="majorBidi"/>
                <w:sz w:val="24"/>
                <w:szCs w:val="24"/>
                <w:lang w:val="en-GB"/>
              </w:rPr>
              <w:t>Profit before interest and Tax /Total Assets</w:t>
            </w:r>
          </w:p>
          <w:p w:rsidR="00A93748" w:rsidRPr="006E388F" w:rsidRDefault="00A93748" w:rsidP="006E388F">
            <w:pPr>
              <w:spacing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This measures the ability of the bank to utilize its assets to generate profits, i.e., indicates bank efficiency in converting assets into net earnings.</w:t>
            </w:r>
          </w:p>
          <w:p w:rsidR="00A93748" w:rsidRPr="006E388F" w:rsidRDefault="00A93748" w:rsidP="006E388F">
            <w:pPr>
              <w:pStyle w:val="ParaAttribute8"/>
              <w:rPr>
                <w:rFonts w:asciiTheme="majorBidi" w:hAnsiTheme="majorBidi" w:cstheme="majorBidi"/>
                <w:sz w:val="24"/>
                <w:szCs w:val="24"/>
                <w:lang w:val="en-GB"/>
              </w:rPr>
            </w:pPr>
          </w:p>
        </w:tc>
      </w:tr>
      <w:tr w:rsidR="00A93748" w:rsidRPr="006E388F" w:rsidTr="004550DC">
        <w:tc>
          <w:tcPr>
            <w:tcW w:w="545" w:type="dxa"/>
          </w:tcPr>
          <w:p w:rsidR="00A93748" w:rsidRPr="006E388F" w:rsidRDefault="00A93748" w:rsidP="006E388F">
            <w:pPr>
              <w:spacing w:after="0" w:line="240" w:lineRule="auto"/>
              <w:jc w:val="both"/>
              <w:rPr>
                <w:rFonts w:asciiTheme="majorBidi" w:hAnsiTheme="majorBidi" w:cstheme="majorBidi"/>
                <w:sz w:val="24"/>
                <w:szCs w:val="24"/>
                <w:lang w:val="en-GB"/>
              </w:rPr>
            </w:pPr>
          </w:p>
          <w:p w:rsidR="00A93748" w:rsidRPr="006E388F" w:rsidRDefault="00A93748" w:rsidP="006E388F">
            <w:pPr>
              <w:spacing w:after="0"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2.</w:t>
            </w:r>
          </w:p>
        </w:tc>
        <w:tc>
          <w:tcPr>
            <w:tcW w:w="2008" w:type="dxa"/>
          </w:tcPr>
          <w:p w:rsidR="00A93748" w:rsidRPr="006E388F" w:rsidRDefault="00A93748" w:rsidP="006E388F">
            <w:pPr>
              <w:spacing w:line="240" w:lineRule="auto"/>
              <w:rPr>
                <w:rFonts w:asciiTheme="majorBidi" w:hAnsiTheme="majorBidi" w:cstheme="majorBidi"/>
                <w:sz w:val="24"/>
                <w:szCs w:val="24"/>
                <w:lang w:val="en-GB"/>
              </w:rPr>
            </w:pPr>
          </w:p>
          <w:p w:rsidR="00A93748" w:rsidRPr="006E388F" w:rsidRDefault="00A93748" w:rsidP="006E388F">
            <w:pPr>
              <w:spacing w:line="240" w:lineRule="auto"/>
              <w:rPr>
                <w:rFonts w:asciiTheme="majorBidi" w:hAnsiTheme="majorBidi" w:cstheme="majorBidi"/>
                <w:sz w:val="24"/>
                <w:szCs w:val="24"/>
                <w:lang w:val="en-GB"/>
              </w:rPr>
            </w:pPr>
            <w:r w:rsidRPr="006E388F">
              <w:rPr>
                <w:rFonts w:asciiTheme="majorBidi" w:hAnsiTheme="majorBidi" w:cstheme="majorBidi"/>
                <w:sz w:val="24"/>
                <w:szCs w:val="24"/>
                <w:lang w:val="en-GB"/>
              </w:rPr>
              <w:t>RETURN ON EQUITY</w:t>
            </w:r>
          </w:p>
        </w:tc>
        <w:tc>
          <w:tcPr>
            <w:tcW w:w="816" w:type="dxa"/>
          </w:tcPr>
          <w:p w:rsidR="00A93748" w:rsidRPr="006E388F" w:rsidRDefault="00A93748" w:rsidP="006E388F">
            <w:pPr>
              <w:spacing w:line="240" w:lineRule="auto"/>
              <w:rPr>
                <w:rFonts w:asciiTheme="majorBidi" w:hAnsiTheme="majorBidi" w:cstheme="majorBidi"/>
                <w:sz w:val="24"/>
                <w:szCs w:val="24"/>
                <w:lang w:val="en-GB"/>
              </w:rPr>
            </w:pPr>
          </w:p>
          <w:p w:rsidR="00A93748" w:rsidRPr="006E388F" w:rsidRDefault="00A93748" w:rsidP="006E388F">
            <w:pPr>
              <w:spacing w:line="240" w:lineRule="auto"/>
              <w:rPr>
                <w:rFonts w:asciiTheme="majorBidi" w:hAnsiTheme="majorBidi" w:cstheme="majorBidi"/>
                <w:sz w:val="24"/>
                <w:szCs w:val="24"/>
                <w:lang w:val="en-GB"/>
              </w:rPr>
            </w:pPr>
            <w:r w:rsidRPr="006E388F">
              <w:rPr>
                <w:rFonts w:asciiTheme="majorBidi" w:hAnsiTheme="majorBidi" w:cstheme="majorBidi"/>
                <w:sz w:val="24"/>
                <w:szCs w:val="24"/>
                <w:lang w:val="en-GB"/>
              </w:rPr>
              <w:t>ROE</w:t>
            </w:r>
          </w:p>
        </w:tc>
        <w:tc>
          <w:tcPr>
            <w:tcW w:w="2409" w:type="dxa"/>
          </w:tcPr>
          <w:p w:rsidR="00A93748" w:rsidRPr="006E388F" w:rsidRDefault="00A93748" w:rsidP="006E388F">
            <w:pPr>
              <w:spacing w:line="240" w:lineRule="auto"/>
              <w:jc w:val="both"/>
              <w:rPr>
                <w:rFonts w:asciiTheme="majorBidi" w:hAnsiTheme="majorBidi" w:cstheme="majorBidi"/>
                <w:sz w:val="24"/>
                <w:szCs w:val="24"/>
                <w:lang w:val="en-GB"/>
              </w:rPr>
            </w:pPr>
          </w:p>
          <w:p w:rsidR="00A93748" w:rsidRPr="006E388F" w:rsidRDefault="00A93748" w:rsidP="006E388F">
            <w:pPr>
              <w:spacing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Profit earned per RM of total equity.</w:t>
            </w:r>
          </w:p>
          <w:p w:rsidR="00A93748" w:rsidRPr="006E388F" w:rsidRDefault="00A93748" w:rsidP="006E388F">
            <w:pPr>
              <w:pStyle w:val="BodyText"/>
              <w:spacing w:line="240" w:lineRule="auto"/>
              <w:rPr>
                <w:rFonts w:asciiTheme="majorBidi" w:hAnsiTheme="majorBidi" w:cstheme="majorBidi"/>
                <w:lang w:val="en-GB"/>
              </w:rPr>
            </w:pPr>
            <w:r w:rsidRPr="006E388F">
              <w:rPr>
                <w:rFonts w:asciiTheme="majorBidi" w:hAnsiTheme="majorBidi" w:cstheme="majorBidi"/>
                <w:lang w:val="en-GB"/>
              </w:rPr>
              <w:t xml:space="preserve">(Samad and Hassan, 1999; Mahmood and Abbas, 2011; Pandya, 2011; Chiang, 2005; Alsultan et al., 2005; </w:t>
            </w:r>
            <w:r w:rsidR="00004C6C" w:rsidRPr="006E388F">
              <w:rPr>
                <w:rFonts w:asciiTheme="majorBidi" w:hAnsiTheme="majorBidi" w:cstheme="majorBidi"/>
                <w:lang w:val="en-GB"/>
              </w:rPr>
              <w:t>Nahar, 2004; Iqbal, 2001</w:t>
            </w:r>
            <w:r w:rsidR="00926543">
              <w:rPr>
                <w:rFonts w:asciiTheme="majorBidi" w:hAnsiTheme="majorBidi" w:cstheme="majorBidi"/>
                <w:lang w:val="en-GB"/>
              </w:rPr>
              <w:t xml:space="preserve">; </w:t>
            </w:r>
            <w:r w:rsidR="00926543">
              <w:rPr>
                <w:rFonts w:asciiTheme="majorBidi" w:hAnsiTheme="majorBidi" w:cstheme="majorBidi"/>
                <w:color w:val="0070C0"/>
                <w:lang w:val="en-GB"/>
              </w:rPr>
              <w:t>Clarke, 2011</w:t>
            </w:r>
            <w:r w:rsidR="00004C6C" w:rsidRPr="006E388F">
              <w:rPr>
                <w:rFonts w:asciiTheme="majorBidi" w:hAnsiTheme="majorBidi" w:cstheme="majorBidi"/>
                <w:lang w:val="en-GB"/>
              </w:rPr>
              <w:t>)</w:t>
            </w:r>
          </w:p>
        </w:tc>
        <w:tc>
          <w:tcPr>
            <w:tcW w:w="2772" w:type="dxa"/>
          </w:tcPr>
          <w:p w:rsidR="00A93748" w:rsidRPr="006E388F" w:rsidRDefault="00A93748" w:rsidP="006E388F">
            <w:pPr>
              <w:pStyle w:val="ParaAttribute8"/>
              <w:rPr>
                <w:rStyle w:val="CharAttribute25"/>
                <w:rFonts w:asciiTheme="majorBidi" w:eastAsia="Batang" w:hAnsiTheme="majorBidi" w:cstheme="majorBidi"/>
                <w:sz w:val="24"/>
                <w:szCs w:val="24"/>
                <w:lang w:val="en-GB"/>
              </w:rPr>
            </w:pPr>
          </w:p>
          <w:p w:rsidR="00A93748" w:rsidRPr="006E388F" w:rsidRDefault="00A93748" w:rsidP="006E388F">
            <w:pPr>
              <w:pStyle w:val="ParaAttribute8"/>
              <w:rPr>
                <w:rStyle w:val="CharAttribute25"/>
                <w:rFonts w:asciiTheme="majorBidi" w:eastAsia="Batang" w:hAnsiTheme="majorBidi" w:cstheme="majorBidi"/>
                <w:sz w:val="24"/>
                <w:szCs w:val="24"/>
                <w:lang w:val="en-GB"/>
              </w:rPr>
            </w:pPr>
            <w:r w:rsidRPr="006E388F">
              <w:rPr>
                <w:rStyle w:val="CharAttribute25"/>
                <w:rFonts w:asciiTheme="majorBidi" w:eastAsia="Batang" w:hAnsiTheme="majorBidi" w:cstheme="majorBidi"/>
                <w:sz w:val="24"/>
                <w:szCs w:val="24"/>
                <w:lang w:val="en-GB"/>
              </w:rPr>
              <w:t>Profit before Interest and Tax/Total Equity</w:t>
            </w:r>
          </w:p>
          <w:p w:rsidR="00A93748" w:rsidRPr="006E388F" w:rsidRDefault="00A93748" w:rsidP="006E388F">
            <w:pPr>
              <w:pStyle w:val="ParaAttribute8"/>
              <w:rPr>
                <w:rStyle w:val="CharAttribute25"/>
                <w:rFonts w:asciiTheme="majorBidi" w:eastAsia="Batang" w:hAnsiTheme="majorBidi" w:cstheme="majorBidi"/>
                <w:sz w:val="24"/>
                <w:szCs w:val="24"/>
                <w:lang w:val="en-GB"/>
              </w:rPr>
            </w:pPr>
          </w:p>
          <w:p w:rsidR="00A93748" w:rsidRPr="006E388F" w:rsidRDefault="00A93748" w:rsidP="006E388F">
            <w:pPr>
              <w:spacing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This measures how effectively a banks’ management is in utilizing its shareholders’ funds.</w:t>
            </w:r>
          </w:p>
          <w:p w:rsidR="00A93748" w:rsidRPr="006E388F" w:rsidRDefault="00A93748" w:rsidP="006E388F">
            <w:pPr>
              <w:pStyle w:val="ParaAttribute8"/>
              <w:rPr>
                <w:rFonts w:asciiTheme="majorBidi" w:hAnsiTheme="majorBidi" w:cstheme="majorBidi"/>
                <w:sz w:val="24"/>
                <w:szCs w:val="24"/>
                <w:lang w:val="en-GB"/>
              </w:rPr>
            </w:pPr>
          </w:p>
        </w:tc>
      </w:tr>
      <w:tr w:rsidR="00A93748" w:rsidRPr="006E388F" w:rsidTr="004550DC">
        <w:tc>
          <w:tcPr>
            <w:tcW w:w="545" w:type="dxa"/>
          </w:tcPr>
          <w:p w:rsidR="00A93748" w:rsidRPr="006E388F" w:rsidRDefault="00A93748" w:rsidP="006E388F">
            <w:pPr>
              <w:spacing w:after="0" w:line="240" w:lineRule="auto"/>
              <w:jc w:val="both"/>
              <w:rPr>
                <w:rFonts w:asciiTheme="majorBidi" w:hAnsiTheme="majorBidi" w:cstheme="majorBidi"/>
                <w:sz w:val="24"/>
                <w:szCs w:val="24"/>
                <w:lang w:val="en-GB"/>
              </w:rPr>
            </w:pPr>
          </w:p>
          <w:p w:rsidR="00A93748" w:rsidRPr="006E388F" w:rsidRDefault="00A93748" w:rsidP="006E388F">
            <w:pPr>
              <w:spacing w:after="0"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3.</w:t>
            </w:r>
          </w:p>
        </w:tc>
        <w:tc>
          <w:tcPr>
            <w:tcW w:w="2008" w:type="dxa"/>
          </w:tcPr>
          <w:p w:rsidR="00A93748" w:rsidRPr="006E388F" w:rsidRDefault="00A93748" w:rsidP="006E388F">
            <w:pPr>
              <w:spacing w:line="240" w:lineRule="auto"/>
              <w:rPr>
                <w:rFonts w:asciiTheme="majorBidi" w:hAnsiTheme="majorBidi" w:cstheme="majorBidi"/>
                <w:sz w:val="24"/>
                <w:szCs w:val="24"/>
                <w:lang w:val="en-GB"/>
              </w:rPr>
            </w:pPr>
          </w:p>
          <w:p w:rsidR="00A93748" w:rsidRPr="006E388F" w:rsidRDefault="00A93748" w:rsidP="006E388F">
            <w:pPr>
              <w:spacing w:line="240" w:lineRule="auto"/>
              <w:rPr>
                <w:rFonts w:asciiTheme="majorBidi" w:hAnsiTheme="majorBidi" w:cstheme="majorBidi"/>
                <w:sz w:val="24"/>
                <w:szCs w:val="24"/>
                <w:lang w:val="en-GB"/>
              </w:rPr>
            </w:pPr>
            <w:r w:rsidRPr="006E388F">
              <w:rPr>
                <w:rFonts w:asciiTheme="majorBidi" w:hAnsiTheme="majorBidi" w:cstheme="majorBidi"/>
                <w:sz w:val="24"/>
                <w:szCs w:val="24"/>
                <w:lang w:val="en-GB"/>
              </w:rPr>
              <w:t>COST TO INCOME</w:t>
            </w:r>
          </w:p>
        </w:tc>
        <w:tc>
          <w:tcPr>
            <w:tcW w:w="816" w:type="dxa"/>
          </w:tcPr>
          <w:p w:rsidR="00A93748" w:rsidRPr="006E388F" w:rsidRDefault="00A93748" w:rsidP="006E388F">
            <w:pPr>
              <w:spacing w:line="240" w:lineRule="auto"/>
              <w:rPr>
                <w:rFonts w:asciiTheme="majorBidi" w:hAnsiTheme="majorBidi" w:cstheme="majorBidi"/>
                <w:sz w:val="24"/>
                <w:szCs w:val="24"/>
                <w:lang w:val="en-GB"/>
              </w:rPr>
            </w:pPr>
          </w:p>
          <w:p w:rsidR="00A93748" w:rsidRPr="006E388F" w:rsidRDefault="00A93748" w:rsidP="006E388F">
            <w:pPr>
              <w:spacing w:line="240" w:lineRule="auto"/>
              <w:rPr>
                <w:rFonts w:asciiTheme="majorBidi" w:hAnsiTheme="majorBidi" w:cstheme="majorBidi"/>
                <w:sz w:val="24"/>
                <w:szCs w:val="24"/>
                <w:lang w:val="en-GB"/>
              </w:rPr>
            </w:pPr>
            <w:r w:rsidRPr="006E388F">
              <w:rPr>
                <w:rFonts w:asciiTheme="majorBidi" w:hAnsiTheme="majorBidi" w:cstheme="majorBidi"/>
                <w:sz w:val="24"/>
                <w:szCs w:val="24"/>
                <w:lang w:val="en-GB"/>
              </w:rPr>
              <w:t>CTI</w:t>
            </w:r>
          </w:p>
        </w:tc>
        <w:tc>
          <w:tcPr>
            <w:tcW w:w="2409" w:type="dxa"/>
          </w:tcPr>
          <w:p w:rsidR="00A93748" w:rsidRPr="006E388F" w:rsidRDefault="00A93748" w:rsidP="006E388F">
            <w:pPr>
              <w:spacing w:line="240" w:lineRule="auto"/>
              <w:jc w:val="both"/>
              <w:rPr>
                <w:rFonts w:asciiTheme="majorBidi" w:hAnsiTheme="majorBidi" w:cstheme="majorBidi"/>
                <w:sz w:val="24"/>
                <w:szCs w:val="24"/>
                <w:lang w:val="en-GB"/>
              </w:rPr>
            </w:pPr>
          </w:p>
          <w:p w:rsidR="00A93748" w:rsidRPr="006E388F" w:rsidRDefault="00A93748" w:rsidP="006E388F">
            <w:pPr>
              <w:spacing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Income generated per dollar cost.</w:t>
            </w:r>
          </w:p>
          <w:p w:rsidR="00A93748" w:rsidRPr="006E388F" w:rsidRDefault="00A93748" w:rsidP="006E388F">
            <w:pPr>
              <w:pStyle w:val="BodyText"/>
              <w:spacing w:line="240" w:lineRule="auto"/>
              <w:rPr>
                <w:rFonts w:asciiTheme="majorBidi" w:hAnsiTheme="majorBidi" w:cstheme="majorBidi"/>
                <w:lang w:val="en-GB"/>
              </w:rPr>
            </w:pPr>
            <w:r w:rsidRPr="006E388F">
              <w:rPr>
                <w:rFonts w:asciiTheme="majorBidi" w:hAnsiTheme="majorBidi" w:cstheme="majorBidi"/>
                <w:lang w:val="en-GB"/>
              </w:rPr>
              <w:t>(Samad, 2004; Iqbal, 2001; Norhayati and Haron, 1998; Bankscope’s definition, 2015)</w:t>
            </w:r>
          </w:p>
        </w:tc>
        <w:tc>
          <w:tcPr>
            <w:tcW w:w="2772" w:type="dxa"/>
          </w:tcPr>
          <w:p w:rsidR="00A93748" w:rsidRPr="006E388F" w:rsidRDefault="00A93748" w:rsidP="006E388F">
            <w:pPr>
              <w:pStyle w:val="ParaAttribute8"/>
              <w:rPr>
                <w:rStyle w:val="CharAttribute25"/>
                <w:rFonts w:asciiTheme="majorBidi" w:eastAsia="Batang" w:hAnsiTheme="majorBidi" w:cstheme="majorBidi"/>
                <w:sz w:val="24"/>
                <w:szCs w:val="24"/>
                <w:lang w:val="en-GB"/>
              </w:rPr>
            </w:pPr>
          </w:p>
          <w:p w:rsidR="00A93748" w:rsidRPr="006E388F" w:rsidRDefault="00A93748" w:rsidP="006E388F">
            <w:pPr>
              <w:pStyle w:val="ParaAttribute8"/>
              <w:rPr>
                <w:rStyle w:val="CharAttribute25"/>
                <w:rFonts w:asciiTheme="majorBidi" w:eastAsia="Batang" w:hAnsiTheme="majorBidi" w:cstheme="majorBidi"/>
                <w:sz w:val="24"/>
                <w:szCs w:val="24"/>
                <w:lang w:val="en-GB"/>
              </w:rPr>
            </w:pPr>
            <w:r w:rsidRPr="006E388F">
              <w:rPr>
                <w:rStyle w:val="CharAttribute25"/>
                <w:rFonts w:asciiTheme="majorBidi" w:eastAsia="Batang" w:hAnsiTheme="majorBidi" w:cstheme="majorBidi"/>
                <w:sz w:val="24"/>
                <w:szCs w:val="24"/>
                <w:lang w:val="en-GB"/>
              </w:rPr>
              <w:t>Total Expenses/Total Income</w:t>
            </w:r>
          </w:p>
          <w:p w:rsidR="00A93748" w:rsidRPr="006E388F" w:rsidRDefault="00A93748" w:rsidP="006E388F">
            <w:pPr>
              <w:pStyle w:val="ParaAttribute8"/>
              <w:rPr>
                <w:rStyle w:val="CharAttribute25"/>
                <w:rFonts w:asciiTheme="majorBidi" w:eastAsia="Batang" w:hAnsiTheme="majorBidi" w:cstheme="majorBidi"/>
                <w:sz w:val="24"/>
                <w:szCs w:val="24"/>
                <w:lang w:val="en-GB"/>
              </w:rPr>
            </w:pPr>
          </w:p>
          <w:p w:rsidR="00A93748" w:rsidRPr="006E388F" w:rsidRDefault="00A93748" w:rsidP="006E388F">
            <w:pPr>
              <w:spacing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It measures the overheads or costs of running the bank as a percentage of income generated before provisions.  </w:t>
            </w:r>
          </w:p>
          <w:p w:rsidR="00A93748" w:rsidRPr="006E388F" w:rsidRDefault="00A93748" w:rsidP="006E388F">
            <w:pPr>
              <w:pStyle w:val="ParaAttribute8"/>
              <w:rPr>
                <w:rStyle w:val="CharAttribute25"/>
                <w:rFonts w:asciiTheme="majorBidi" w:eastAsia="Batang" w:hAnsiTheme="majorBidi" w:cstheme="majorBidi"/>
                <w:sz w:val="24"/>
                <w:szCs w:val="24"/>
                <w:lang w:val="en-GB"/>
              </w:rPr>
            </w:pPr>
          </w:p>
        </w:tc>
      </w:tr>
    </w:tbl>
    <w:p w:rsidR="00A63BF9" w:rsidRPr="006E388F" w:rsidRDefault="00A63BF9" w:rsidP="006E388F">
      <w:pPr>
        <w:spacing w:line="240" w:lineRule="auto"/>
        <w:jc w:val="both"/>
        <w:rPr>
          <w:rFonts w:asciiTheme="majorBidi" w:hAnsiTheme="majorBidi" w:cstheme="majorBidi"/>
          <w:color w:val="0070C0"/>
          <w:sz w:val="24"/>
          <w:szCs w:val="24"/>
          <w:lang w:val="en-GB"/>
        </w:rPr>
      </w:pPr>
    </w:p>
    <w:p w:rsidR="00B53509" w:rsidRPr="00B53509" w:rsidRDefault="00B53509" w:rsidP="00B53509">
      <w:pPr>
        <w:pStyle w:val="BodyTextFirstIndent"/>
        <w:spacing w:line="240" w:lineRule="auto"/>
        <w:ind w:firstLine="0"/>
        <w:jc w:val="both"/>
        <w:rPr>
          <w:rFonts w:asciiTheme="majorBidi" w:hAnsiTheme="majorBidi" w:cstheme="majorBidi"/>
          <w:b/>
          <w:bCs/>
          <w:sz w:val="24"/>
          <w:szCs w:val="24"/>
          <w:lang w:val="en-GB"/>
        </w:rPr>
      </w:pPr>
      <w:r w:rsidRPr="00B53509">
        <w:rPr>
          <w:rFonts w:asciiTheme="majorBidi" w:hAnsiTheme="majorBidi" w:cstheme="majorBidi"/>
          <w:b/>
          <w:bCs/>
          <w:sz w:val="24"/>
          <w:szCs w:val="24"/>
          <w:lang w:val="en-GB"/>
        </w:rPr>
        <w:t>Data Analysis</w:t>
      </w:r>
    </w:p>
    <w:p w:rsidR="009B588E" w:rsidRPr="006E388F" w:rsidRDefault="00C800AD" w:rsidP="005C7D70">
      <w:pPr>
        <w:spacing w:after="0" w:line="240" w:lineRule="auto"/>
        <w:jc w:val="both"/>
        <w:rPr>
          <w:rFonts w:asciiTheme="majorBidi" w:hAnsiTheme="majorBidi" w:cstheme="majorBidi"/>
          <w:sz w:val="24"/>
          <w:szCs w:val="24"/>
          <w:lang w:val="en-GB"/>
        </w:rPr>
      </w:pPr>
      <w:r w:rsidRPr="006E388F">
        <w:rPr>
          <w:rFonts w:asciiTheme="majorBidi" w:hAnsiTheme="majorBidi" w:cstheme="majorBidi"/>
          <w:sz w:val="24"/>
          <w:szCs w:val="24"/>
          <w:lang w:val="en-GB"/>
        </w:rPr>
        <w:t>In general</w:t>
      </w:r>
      <w:r w:rsidR="005E6E46" w:rsidRPr="006E388F">
        <w:rPr>
          <w:rFonts w:asciiTheme="majorBidi" w:hAnsiTheme="majorBidi" w:cstheme="majorBidi"/>
          <w:sz w:val="24"/>
          <w:szCs w:val="24"/>
          <w:lang w:val="en-GB"/>
        </w:rPr>
        <w:t>, P</w:t>
      </w:r>
      <w:r w:rsidRPr="006E388F">
        <w:rPr>
          <w:rFonts w:asciiTheme="majorBidi" w:hAnsiTheme="majorBidi" w:cstheme="majorBidi"/>
          <w:sz w:val="24"/>
          <w:szCs w:val="24"/>
          <w:lang w:val="en-GB"/>
        </w:rPr>
        <w:t>LS-SEM data analysis was run through</w:t>
      </w:r>
      <w:r w:rsidR="005E6E46" w:rsidRPr="006E388F">
        <w:rPr>
          <w:rFonts w:asciiTheme="majorBidi" w:hAnsiTheme="majorBidi" w:cstheme="majorBidi"/>
          <w:sz w:val="24"/>
          <w:szCs w:val="24"/>
          <w:lang w:val="en-GB"/>
        </w:rPr>
        <w:t xml:space="preserve"> tw</w:t>
      </w:r>
      <w:r w:rsidR="00337DB0" w:rsidRPr="006E388F">
        <w:rPr>
          <w:rFonts w:asciiTheme="majorBidi" w:hAnsiTheme="majorBidi" w:cstheme="majorBidi"/>
          <w:sz w:val="24"/>
          <w:szCs w:val="24"/>
          <w:lang w:val="en-GB"/>
        </w:rPr>
        <w:t>o stages (</w:t>
      </w:r>
      <w:r w:rsidR="00DF738F">
        <w:rPr>
          <w:rFonts w:asciiTheme="majorBidi" w:hAnsiTheme="majorBidi" w:cstheme="majorBidi"/>
          <w:sz w:val="24"/>
          <w:szCs w:val="24"/>
          <w:lang w:val="en-GB"/>
        </w:rPr>
        <w:t>Hair et al., 2017). F</w:t>
      </w:r>
      <w:r w:rsidR="005E6E46" w:rsidRPr="006E388F">
        <w:rPr>
          <w:rFonts w:asciiTheme="majorBidi" w:hAnsiTheme="majorBidi" w:cstheme="majorBidi"/>
          <w:sz w:val="24"/>
          <w:szCs w:val="24"/>
          <w:lang w:val="en-GB"/>
        </w:rPr>
        <w:t>irstly, on the evaluation of the measurement model (MM), which was the relationship between the indicators and the constructs. Secondly, the evaluation of the structural model (SM), which was the relationship among the constructs that showed the influence of the exogenous variables (SGM) on the endogenous variables (IEP).</w:t>
      </w:r>
    </w:p>
    <w:p w:rsidR="00337DB0" w:rsidRPr="006E388F" w:rsidRDefault="00DF738F" w:rsidP="00DF738F">
      <w:pPr>
        <w:pStyle w:val="BodyTextFirstIndent"/>
        <w:spacing w:after="0" w:line="240" w:lineRule="auto"/>
        <w:ind w:firstLine="720"/>
        <w:jc w:val="both"/>
        <w:rPr>
          <w:rFonts w:asciiTheme="majorBidi" w:hAnsiTheme="majorBidi" w:cstheme="majorBidi"/>
          <w:sz w:val="24"/>
          <w:szCs w:val="24"/>
          <w:lang w:val="en-GB"/>
        </w:rPr>
      </w:pPr>
      <w:r>
        <w:rPr>
          <w:rFonts w:asciiTheme="majorBidi" w:hAnsiTheme="majorBidi" w:cstheme="majorBidi"/>
          <w:bCs/>
          <w:sz w:val="24"/>
          <w:szCs w:val="24"/>
          <w:lang w:val="en-GB"/>
        </w:rPr>
        <w:t xml:space="preserve">According to </w:t>
      </w:r>
      <w:r w:rsidRPr="006E388F">
        <w:rPr>
          <w:rFonts w:asciiTheme="majorBidi" w:hAnsiTheme="majorBidi" w:cstheme="majorBidi"/>
          <w:bCs/>
          <w:sz w:val="24"/>
          <w:szCs w:val="24"/>
          <w:lang w:val="en-GB"/>
        </w:rPr>
        <w:t xml:space="preserve">Gholami, Ainin, Ramayah and Molla (2013), </w:t>
      </w:r>
      <w:r w:rsidRPr="006E388F">
        <w:rPr>
          <w:rFonts w:asciiTheme="majorBidi" w:hAnsiTheme="majorBidi" w:cstheme="majorBidi"/>
          <w:sz w:val="24"/>
          <w:szCs w:val="24"/>
          <w:lang w:val="en-GB"/>
        </w:rPr>
        <w:t>Gotz, Liehr-Gobbers and Krafft (2010), and Petter et al., (2007)</w:t>
      </w:r>
      <w:r>
        <w:rPr>
          <w:rFonts w:asciiTheme="majorBidi" w:hAnsiTheme="majorBidi" w:cstheme="majorBidi"/>
          <w:sz w:val="24"/>
          <w:szCs w:val="24"/>
          <w:lang w:val="en-GB"/>
        </w:rPr>
        <w:t>,</w:t>
      </w:r>
      <w:r>
        <w:rPr>
          <w:rFonts w:asciiTheme="majorBidi" w:hAnsiTheme="majorBidi" w:cstheme="majorBidi"/>
          <w:bCs/>
          <w:sz w:val="24"/>
          <w:szCs w:val="24"/>
          <w:lang w:val="en-GB"/>
        </w:rPr>
        <w:t xml:space="preserve"> t</w:t>
      </w:r>
      <w:r w:rsidR="00F3244C" w:rsidRPr="006E388F">
        <w:rPr>
          <w:rFonts w:asciiTheme="majorBidi" w:hAnsiTheme="majorBidi" w:cstheme="majorBidi"/>
          <w:bCs/>
          <w:sz w:val="24"/>
          <w:szCs w:val="24"/>
          <w:lang w:val="en-GB"/>
        </w:rPr>
        <w:t>he assessment of the formative constructs is conducted via testing the significance of the item (weights) and the multicollinearity (VIF) between indicators</w:t>
      </w:r>
      <w:r w:rsidR="00337DB0" w:rsidRPr="006E388F">
        <w:rPr>
          <w:rFonts w:asciiTheme="majorBidi" w:hAnsiTheme="majorBidi" w:cstheme="majorBidi"/>
          <w:bCs/>
          <w:sz w:val="24"/>
          <w:szCs w:val="24"/>
          <w:lang w:val="en-GB"/>
        </w:rPr>
        <w:t xml:space="preserve"> via bootstrapping procedure</w:t>
      </w:r>
      <w:r>
        <w:rPr>
          <w:rFonts w:asciiTheme="majorBidi" w:hAnsiTheme="majorBidi" w:cstheme="majorBidi"/>
          <w:bCs/>
          <w:sz w:val="24"/>
          <w:szCs w:val="24"/>
          <w:lang w:val="en-GB"/>
        </w:rPr>
        <w:t xml:space="preserve">. </w:t>
      </w:r>
      <w:r w:rsidR="0038251C" w:rsidRPr="006E388F">
        <w:rPr>
          <w:rFonts w:asciiTheme="majorBidi" w:hAnsiTheme="majorBidi" w:cstheme="majorBidi"/>
          <w:sz w:val="24"/>
          <w:szCs w:val="24"/>
          <w:lang w:val="en-GB"/>
        </w:rPr>
        <w:t xml:space="preserve">The general rule for FMM, according </w:t>
      </w:r>
      <w:r w:rsidR="00337DB0" w:rsidRPr="006E388F">
        <w:rPr>
          <w:rFonts w:asciiTheme="majorBidi" w:hAnsiTheme="majorBidi" w:cstheme="majorBidi"/>
          <w:sz w:val="24"/>
          <w:szCs w:val="24"/>
          <w:lang w:val="en-GB"/>
        </w:rPr>
        <w:t>to Hair et al. (2017</w:t>
      </w:r>
      <w:r w:rsidR="0038251C" w:rsidRPr="006E388F">
        <w:rPr>
          <w:rFonts w:asciiTheme="majorBidi" w:hAnsiTheme="majorBidi" w:cstheme="majorBidi"/>
          <w:sz w:val="24"/>
          <w:szCs w:val="24"/>
          <w:lang w:val="en-GB"/>
        </w:rPr>
        <w:t xml:space="preserve">), is </w:t>
      </w:r>
      <w:r>
        <w:rPr>
          <w:rFonts w:asciiTheme="majorBidi" w:hAnsiTheme="majorBidi" w:cstheme="majorBidi"/>
          <w:sz w:val="24"/>
          <w:szCs w:val="24"/>
          <w:lang w:val="en-GB"/>
        </w:rPr>
        <w:t>“</w:t>
      </w:r>
      <w:r w:rsidR="0038251C" w:rsidRPr="00DF738F">
        <w:rPr>
          <w:rFonts w:asciiTheme="majorBidi" w:hAnsiTheme="majorBidi" w:cstheme="majorBidi"/>
          <w:i/>
          <w:iCs/>
          <w:sz w:val="24"/>
          <w:szCs w:val="24"/>
          <w:lang w:val="en-GB"/>
        </w:rPr>
        <w:t>first, the indicator’s weight must be more than 0.5, if not we can always check the outer loading, which must be more than 0.5; then the item can be retained in the research model</w:t>
      </w:r>
      <w:r w:rsidRPr="00DF738F">
        <w:rPr>
          <w:rFonts w:asciiTheme="majorBidi" w:hAnsiTheme="majorBidi" w:cstheme="majorBidi"/>
          <w:i/>
          <w:iCs/>
          <w:sz w:val="24"/>
          <w:szCs w:val="24"/>
          <w:lang w:val="en-GB"/>
        </w:rPr>
        <w:t>”</w:t>
      </w:r>
      <w:r w:rsidR="0038251C" w:rsidRPr="006E388F">
        <w:rPr>
          <w:rFonts w:asciiTheme="majorBidi" w:hAnsiTheme="majorBidi" w:cstheme="majorBidi"/>
          <w:sz w:val="24"/>
          <w:szCs w:val="24"/>
          <w:lang w:val="en-GB"/>
        </w:rPr>
        <w:t xml:space="preserve">. </w:t>
      </w:r>
    </w:p>
    <w:p w:rsidR="00337DB0" w:rsidRPr="006E388F" w:rsidRDefault="00385A4D" w:rsidP="006E388F">
      <w:pPr>
        <w:spacing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Table 3 shows </w:t>
      </w:r>
      <w:r w:rsidR="00337DB0" w:rsidRPr="006E388F">
        <w:rPr>
          <w:rFonts w:asciiTheme="majorBidi" w:hAnsiTheme="majorBidi" w:cstheme="majorBidi"/>
          <w:sz w:val="24"/>
          <w:szCs w:val="24"/>
          <w:lang w:val="en-GB"/>
        </w:rPr>
        <w:t>the significance lev</w:t>
      </w:r>
      <w:r>
        <w:rPr>
          <w:rFonts w:asciiTheme="majorBidi" w:hAnsiTheme="majorBidi" w:cstheme="majorBidi"/>
          <w:sz w:val="24"/>
          <w:szCs w:val="24"/>
          <w:lang w:val="en-GB"/>
        </w:rPr>
        <w:t xml:space="preserve">els (outer weights) of </w:t>
      </w:r>
      <w:r w:rsidR="00337DB0" w:rsidRPr="006E388F">
        <w:rPr>
          <w:rFonts w:asciiTheme="majorBidi" w:hAnsiTheme="majorBidi" w:cstheme="majorBidi"/>
          <w:sz w:val="24"/>
          <w:szCs w:val="24"/>
          <w:lang w:val="en-GB"/>
        </w:rPr>
        <w:t>BC (-0.314), BS (-0.331) and BM (0.377) values are all below</w:t>
      </w:r>
      <w:r>
        <w:rPr>
          <w:rFonts w:asciiTheme="majorBidi" w:hAnsiTheme="majorBidi" w:cstheme="majorBidi"/>
          <w:sz w:val="24"/>
          <w:szCs w:val="24"/>
          <w:lang w:val="en-GB"/>
        </w:rPr>
        <w:t xml:space="preserve"> 0.5. A negative correlation was not</w:t>
      </w:r>
      <w:r w:rsidR="00337DB0" w:rsidRPr="006E388F">
        <w:rPr>
          <w:rFonts w:asciiTheme="majorBidi" w:hAnsiTheme="majorBidi" w:cstheme="majorBidi"/>
          <w:sz w:val="24"/>
          <w:szCs w:val="24"/>
          <w:lang w:val="en-GB"/>
        </w:rPr>
        <w:t xml:space="preserve"> taken into consideration, such as the value for BC -0.314 (-0.241) as Hulland (1999) mentioned that indicators for </w:t>
      </w:r>
      <w:r w:rsidR="00C06B69">
        <w:rPr>
          <w:rFonts w:asciiTheme="majorBidi" w:hAnsiTheme="majorBidi" w:cstheme="majorBidi"/>
          <w:sz w:val="24"/>
          <w:szCs w:val="24"/>
          <w:lang w:val="en-GB"/>
        </w:rPr>
        <w:t xml:space="preserve">the </w:t>
      </w:r>
      <w:r w:rsidR="00337DB0" w:rsidRPr="006E388F">
        <w:rPr>
          <w:rFonts w:asciiTheme="majorBidi" w:hAnsiTheme="majorBidi" w:cstheme="majorBidi"/>
          <w:sz w:val="24"/>
          <w:szCs w:val="24"/>
          <w:lang w:val="en-GB"/>
        </w:rPr>
        <w:lastRenderedPageBreak/>
        <w:t>formative index can have positive (+), negative (-) or zero (0) correlation (outer weights and outer loadings).</w:t>
      </w:r>
    </w:p>
    <w:p w:rsidR="00337DB0" w:rsidRDefault="00385A4D" w:rsidP="00385A4D">
      <w:pPr>
        <w:spacing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The </w:t>
      </w:r>
      <w:r w:rsidR="00176589" w:rsidRPr="006E388F">
        <w:rPr>
          <w:rFonts w:asciiTheme="majorBidi" w:hAnsiTheme="majorBidi" w:cstheme="majorBidi"/>
          <w:sz w:val="24"/>
          <w:szCs w:val="24"/>
          <w:lang w:val="en-GB"/>
        </w:rPr>
        <w:t>no significant</w:t>
      </w:r>
      <w:r w:rsidR="00337DB0" w:rsidRPr="006E388F">
        <w:rPr>
          <w:rFonts w:asciiTheme="majorBidi" w:hAnsiTheme="majorBidi" w:cstheme="majorBidi"/>
          <w:sz w:val="24"/>
          <w:szCs w:val="24"/>
          <w:lang w:val="en-GB"/>
        </w:rPr>
        <w:t xml:space="preserve"> indicator weights (relative importance) </w:t>
      </w:r>
      <w:r>
        <w:rPr>
          <w:rFonts w:asciiTheme="majorBidi" w:hAnsiTheme="majorBidi" w:cstheme="majorBidi"/>
          <w:sz w:val="24"/>
          <w:szCs w:val="24"/>
          <w:lang w:val="en-GB"/>
        </w:rPr>
        <w:t xml:space="preserve">for </w:t>
      </w:r>
      <w:r w:rsidR="006B7BE8">
        <w:rPr>
          <w:rFonts w:asciiTheme="majorBidi" w:hAnsiTheme="majorBidi" w:cstheme="majorBidi"/>
          <w:sz w:val="24"/>
          <w:szCs w:val="24"/>
          <w:lang w:val="en-GB"/>
        </w:rPr>
        <w:t xml:space="preserve">the </w:t>
      </w:r>
      <w:r>
        <w:rPr>
          <w:rFonts w:asciiTheme="majorBidi" w:hAnsiTheme="majorBidi" w:cstheme="majorBidi"/>
          <w:sz w:val="24"/>
          <w:szCs w:val="24"/>
          <w:lang w:val="en-GB"/>
        </w:rPr>
        <w:t>formative constructs</w:t>
      </w:r>
      <w:r w:rsidRPr="006E388F">
        <w:rPr>
          <w:rFonts w:asciiTheme="majorBidi" w:hAnsiTheme="majorBidi" w:cstheme="majorBidi"/>
          <w:sz w:val="24"/>
          <w:szCs w:val="24"/>
          <w:lang w:val="en-GB"/>
        </w:rPr>
        <w:t xml:space="preserve"> </w:t>
      </w:r>
      <w:r w:rsidR="00337DB0" w:rsidRPr="006E388F">
        <w:rPr>
          <w:rFonts w:asciiTheme="majorBidi" w:hAnsiTheme="majorBidi" w:cstheme="majorBidi"/>
          <w:sz w:val="24"/>
          <w:szCs w:val="24"/>
          <w:lang w:val="en-GB"/>
        </w:rPr>
        <w:t>should not be automatically interpreted as an indicator of poor measurement quality (Hair et al., 2017)</w:t>
      </w:r>
      <w:r>
        <w:rPr>
          <w:rFonts w:asciiTheme="majorBidi" w:hAnsiTheme="majorBidi" w:cstheme="majorBidi"/>
          <w:sz w:val="24"/>
          <w:szCs w:val="24"/>
          <w:lang w:val="en-GB"/>
        </w:rPr>
        <w:t>. Also, c</w:t>
      </w:r>
      <w:r w:rsidR="00337DB0" w:rsidRPr="006E388F">
        <w:rPr>
          <w:rFonts w:asciiTheme="majorBidi" w:hAnsiTheme="majorBidi" w:cstheme="majorBidi"/>
          <w:sz w:val="24"/>
          <w:szCs w:val="24"/>
          <w:lang w:val="en-GB"/>
        </w:rPr>
        <w:t>onsideration shall be given e</w:t>
      </w:r>
      <w:r w:rsidR="00337DB0" w:rsidRPr="006E388F">
        <w:rPr>
          <w:rFonts w:asciiTheme="majorBidi" w:hAnsiTheme="majorBidi" w:cstheme="majorBidi"/>
          <w:noProof/>
          <w:sz w:val="24"/>
          <w:szCs w:val="24"/>
          <w:lang w:val="en-GB"/>
        </w:rPr>
        <w:t>specially</w:t>
      </w:r>
      <w:r w:rsidR="00337DB0" w:rsidRPr="006E388F">
        <w:rPr>
          <w:rFonts w:asciiTheme="majorBidi" w:hAnsiTheme="majorBidi" w:cstheme="majorBidi"/>
          <w:sz w:val="24"/>
          <w:szCs w:val="24"/>
          <w:lang w:val="en-GB"/>
        </w:rPr>
        <w:t xml:space="preserve"> for its construct via the value of the outer loading (absolute importance).</w:t>
      </w:r>
      <w:r w:rsidR="00337DB0" w:rsidRPr="006E388F">
        <w:rPr>
          <w:rFonts w:asciiTheme="majorBidi" w:hAnsiTheme="majorBidi" w:cstheme="majorBidi"/>
          <w:b/>
          <w:bCs/>
          <w:sz w:val="24"/>
          <w:szCs w:val="24"/>
          <w:lang w:val="en-GB"/>
        </w:rPr>
        <w:t xml:space="preserve">  </w:t>
      </w:r>
      <w:r>
        <w:rPr>
          <w:rFonts w:asciiTheme="majorBidi" w:hAnsiTheme="majorBidi" w:cstheme="majorBidi"/>
          <w:sz w:val="24"/>
          <w:szCs w:val="24"/>
          <w:lang w:val="en-GB"/>
        </w:rPr>
        <w:t>Thus</w:t>
      </w:r>
      <w:r w:rsidR="00337DB0" w:rsidRPr="006E388F">
        <w:rPr>
          <w:rFonts w:asciiTheme="majorBidi" w:hAnsiTheme="majorBidi" w:cstheme="majorBidi"/>
          <w:sz w:val="24"/>
          <w:szCs w:val="24"/>
          <w:lang w:val="en-GB"/>
        </w:rPr>
        <w:t xml:space="preserve">, when an indicator’s outer weight is not significant (for formative constructs) but </w:t>
      </w:r>
      <w:r w:rsidR="00337DB0" w:rsidRPr="006E388F">
        <w:rPr>
          <w:rFonts w:asciiTheme="majorBidi" w:hAnsiTheme="majorBidi" w:cstheme="majorBidi"/>
          <w:noProof/>
          <w:sz w:val="24"/>
          <w:szCs w:val="24"/>
          <w:lang w:val="en-GB"/>
        </w:rPr>
        <w:t>its</w:t>
      </w:r>
      <w:r w:rsidR="00337DB0" w:rsidRPr="006E388F">
        <w:rPr>
          <w:rFonts w:asciiTheme="majorBidi" w:hAnsiTheme="majorBidi" w:cstheme="majorBidi"/>
          <w:sz w:val="24"/>
          <w:szCs w:val="24"/>
          <w:lang w:val="en-GB"/>
        </w:rPr>
        <w:t xml:space="preserve"> outer loading is high (i.e., above 0.50) then the indicator should be interpreted in the statistical terminology as </w:t>
      </w:r>
      <w:r w:rsidR="00337DB0" w:rsidRPr="006E388F">
        <w:rPr>
          <w:rFonts w:asciiTheme="majorBidi" w:hAnsiTheme="majorBidi" w:cstheme="majorBidi"/>
          <w:i/>
          <w:iCs/>
          <w:sz w:val="24"/>
          <w:szCs w:val="24"/>
          <w:lang w:val="en-GB"/>
        </w:rPr>
        <w:t xml:space="preserve">‘absolutely important but not as relatively </w:t>
      </w:r>
      <w:r w:rsidR="00337DB0" w:rsidRPr="006E388F">
        <w:rPr>
          <w:rFonts w:asciiTheme="majorBidi" w:hAnsiTheme="majorBidi" w:cstheme="majorBidi"/>
          <w:i/>
          <w:iCs/>
          <w:noProof/>
          <w:sz w:val="24"/>
          <w:szCs w:val="24"/>
          <w:lang w:val="en-GB"/>
        </w:rPr>
        <w:t>important’.</w:t>
      </w:r>
      <w:r w:rsidR="00337DB0" w:rsidRPr="006E388F">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w:t>
      </w:r>
      <w:r w:rsidR="00337DB0" w:rsidRPr="006E388F">
        <w:rPr>
          <w:rFonts w:asciiTheme="majorBidi" w:hAnsiTheme="majorBidi" w:cstheme="majorBidi"/>
          <w:sz w:val="24"/>
          <w:szCs w:val="24"/>
          <w:lang w:val="en-GB"/>
        </w:rPr>
        <w:t xml:space="preserve">outer loadings for BM (0.583), it outer loadings are more than 0.5; thus BM is </w:t>
      </w:r>
      <w:r w:rsidR="00337DB0" w:rsidRPr="006E388F">
        <w:rPr>
          <w:rFonts w:asciiTheme="majorBidi" w:hAnsiTheme="majorBidi" w:cstheme="majorBidi"/>
          <w:i/>
          <w:iCs/>
          <w:sz w:val="24"/>
          <w:szCs w:val="24"/>
          <w:lang w:val="en-GB"/>
        </w:rPr>
        <w:t xml:space="preserve">‘absolutely important but not as relatively </w:t>
      </w:r>
      <w:r w:rsidR="00337DB0" w:rsidRPr="006E388F">
        <w:rPr>
          <w:rFonts w:asciiTheme="majorBidi" w:hAnsiTheme="majorBidi" w:cstheme="majorBidi"/>
          <w:i/>
          <w:iCs/>
          <w:noProof/>
          <w:sz w:val="24"/>
          <w:szCs w:val="24"/>
          <w:lang w:val="en-GB"/>
        </w:rPr>
        <w:t>important’</w:t>
      </w:r>
      <w:r w:rsidR="00337DB0" w:rsidRPr="006E388F">
        <w:rPr>
          <w:rFonts w:asciiTheme="majorBidi" w:hAnsiTheme="majorBidi" w:cstheme="majorBidi"/>
          <w:noProof/>
          <w:sz w:val="24"/>
          <w:szCs w:val="24"/>
          <w:lang w:val="en-GB"/>
        </w:rPr>
        <w:t>.</w:t>
      </w:r>
      <w:r>
        <w:rPr>
          <w:rFonts w:asciiTheme="majorBidi" w:hAnsiTheme="majorBidi" w:cstheme="majorBidi"/>
          <w:sz w:val="24"/>
          <w:szCs w:val="24"/>
          <w:lang w:val="en-GB"/>
        </w:rPr>
        <w:t xml:space="preserve">  Therefore</w:t>
      </w:r>
      <w:r w:rsidR="00337DB0" w:rsidRPr="006E388F">
        <w:rPr>
          <w:rFonts w:asciiTheme="majorBidi" w:hAnsiTheme="majorBidi" w:cstheme="majorBidi"/>
          <w:sz w:val="24"/>
          <w:szCs w:val="24"/>
          <w:lang w:val="en-GB"/>
        </w:rPr>
        <w:t xml:space="preserve">, BM can be retained in the measurements.  </w:t>
      </w:r>
    </w:p>
    <w:p w:rsidR="00337DB0" w:rsidRPr="006E388F" w:rsidRDefault="00FC4293" w:rsidP="00385A4D">
      <w:pPr>
        <w:pStyle w:val="Caption"/>
        <w:tabs>
          <w:tab w:val="left" w:pos="639"/>
          <w:tab w:val="center" w:pos="4167"/>
        </w:tabs>
        <w:rPr>
          <w:rFonts w:asciiTheme="majorBidi" w:hAnsiTheme="majorBidi" w:cstheme="majorBidi"/>
          <w:b w:val="0"/>
          <w:bCs w:val="0"/>
          <w:szCs w:val="24"/>
          <w:lang w:val="en-GB"/>
        </w:rPr>
      </w:pPr>
      <w:bookmarkStart w:id="5" w:name="_Toc490042474"/>
      <w:bookmarkStart w:id="6" w:name="_Toc490910394"/>
      <w:r>
        <w:rPr>
          <w:rFonts w:asciiTheme="majorBidi" w:hAnsiTheme="majorBidi" w:cstheme="majorBidi"/>
          <w:b w:val="0"/>
          <w:bCs w:val="0"/>
          <w:szCs w:val="24"/>
          <w:lang w:val="en-GB"/>
        </w:rPr>
        <w:t>Ta</w:t>
      </w:r>
      <w:r w:rsidR="00337DB0" w:rsidRPr="006E388F">
        <w:rPr>
          <w:rFonts w:asciiTheme="majorBidi" w:hAnsiTheme="majorBidi" w:cstheme="majorBidi"/>
          <w:b w:val="0"/>
          <w:bCs w:val="0"/>
          <w:szCs w:val="24"/>
          <w:lang w:val="en-GB"/>
        </w:rPr>
        <w:t>ble</w:t>
      </w:r>
      <w:r w:rsidR="00385A4D">
        <w:rPr>
          <w:rFonts w:asciiTheme="majorBidi" w:hAnsiTheme="majorBidi" w:cstheme="majorBidi"/>
          <w:b w:val="0"/>
          <w:bCs w:val="0"/>
          <w:szCs w:val="24"/>
          <w:lang w:val="en-GB"/>
        </w:rPr>
        <w:t xml:space="preserve"> 3</w:t>
      </w:r>
      <w:r w:rsidR="00AF1446">
        <w:rPr>
          <w:rFonts w:asciiTheme="majorBidi" w:hAnsiTheme="majorBidi" w:cstheme="majorBidi"/>
          <w:b w:val="0"/>
          <w:bCs w:val="0"/>
          <w:szCs w:val="24"/>
          <w:lang w:val="en-GB"/>
        </w:rPr>
        <w:t xml:space="preserve"> </w:t>
      </w:r>
      <w:r w:rsidR="00337DB0" w:rsidRPr="006E388F">
        <w:rPr>
          <w:rFonts w:asciiTheme="majorBidi" w:hAnsiTheme="majorBidi" w:cstheme="majorBidi"/>
          <w:b w:val="0"/>
          <w:bCs w:val="0"/>
          <w:szCs w:val="24"/>
          <w:lang w:val="en-GB"/>
        </w:rPr>
        <w:t>Significance and Relevance of the Formative Indicators</w:t>
      </w:r>
      <w:bookmarkEnd w:id="5"/>
    </w:p>
    <w:tbl>
      <w:tblPr>
        <w:tblW w:w="5000" w:type="pct"/>
        <w:tblBorders>
          <w:top w:val="single" w:sz="8" w:space="0" w:color="000000"/>
          <w:bottom w:val="single" w:sz="8" w:space="0" w:color="000000"/>
        </w:tblBorders>
        <w:shd w:val="clear" w:color="auto" w:fill="EEECE1"/>
        <w:tblLook w:val="04A0" w:firstRow="1" w:lastRow="0" w:firstColumn="1" w:lastColumn="0" w:noHBand="0" w:noVBand="1"/>
      </w:tblPr>
      <w:tblGrid>
        <w:gridCol w:w="1515"/>
        <w:gridCol w:w="1439"/>
        <w:gridCol w:w="1816"/>
        <w:gridCol w:w="1175"/>
        <w:gridCol w:w="1646"/>
        <w:gridCol w:w="1435"/>
      </w:tblGrid>
      <w:tr w:rsidR="00EE0F2D" w:rsidRPr="00176589" w:rsidTr="00385A4D">
        <w:tc>
          <w:tcPr>
            <w:tcW w:w="839" w:type="pct"/>
            <w:tcBorders>
              <w:top w:val="nil"/>
              <w:bottom w:val="single" w:sz="8" w:space="0" w:color="000000"/>
            </w:tcBorders>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Formative Constructs</w:t>
            </w:r>
          </w:p>
        </w:tc>
        <w:tc>
          <w:tcPr>
            <w:tcW w:w="797" w:type="pct"/>
            <w:tcBorders>
              <w:top w:val="nil"/>
              <w:bottom w:val="single" w:sz="8" w:space="0" w:color="000000"/>
            </w:tcBorders>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Formative Indicators</w:t>
            </w:r>
          </w:p>
        </w:tc>
        <w:tc>
          <w:tcPr>
            <w:tcW w:w="1006" w:type="pct"/>
            <w:tcBorders>
              <w:top w:val="nil"/>
              <w:bottom w:val="single" w:sz="8" w:space="0" w:color="000000"/>
            </w:tcBorders>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Outer Weights</w:t>
            </w:r>
          </w:p>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(Outer Loadings)</w:t>
            </w:r>
          </w:p>
        </w:tc>
        <w:tc>
          <w:tcPr>
            <w:tcW w:w="651" w:type="pct"/>
            <w:tcBorders>
              <w:top w:val="nil"/>
              <w:bottom w:val="single" w:sz="8" w:space="0" w:color="000000"/>
            </w:tcBorders>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t-values</w:t>
            </w:r>
          </w:p>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p>
        </w:tc>
        <w:tc>
          <w:tcPr>
            <w:tcW w:w="912" w:type="pct"/>
            <w:tcBorders>
              <w:top w:val="nil"/>
              <w:bottom w:val="single" w:sz="8" w:space="0" w:color="000000"/>
            </w:tcBorders>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Significance Level</w:t>
            </w:r>
          </w:p>
        </w:tc>
        <w:tc>
          <w:tcPr>
            <w:tcW w:w="795" w:type="pct"/>
            <w:tcBorders>
              <w:top w:val="nil"/>
              <w:bottom w:val="single" w:sz="8" w:space="0" w:color="000000"/>
            </w:tcBorders>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p-values</w:t>
            </w:r>
          </w:p>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p>
        </w:tc>
      </w:tr>
      <w:tr w:rsidR="00EE0F2D" w:rsidRPr="00176589" w:rsidTr="00385A4D">
        <w:tc>
          <w:tcPr>
            <w:tcW w:w="839" w:type="pct"/>
            <w:vMerge w:val="restart"/>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CGM</w:t>
            </w:r>
          </w:p>
        </w:tc>
        <w:tc>
          <w:tcPr>
            <w:tcW w:w="797"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BC</w:t>
            </w:r>
          </w:p>
        </w:tc>
        <w:tc>
          <w:tcPr>
            <w:tcW w:w="1006"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b/>
                <w:bCs/>
                <w:lang w:val="en-GB"/>
              </w:rPr>
            </w:pPr>
            <w:r w:rsidRPr="00176589">
              <w:rPr>
                <w:rFonts w:asciiTheme="majorBidi" w:hAnsiTheme="majorBidi" w:cstheme="majorBidi"/>
                <w:b/>
                <w:bCs/>
                <w:lang w:val="en-GB"/>
              </w:rPr>
              <w:t>-0.314 (-0.241)</w:t>
            </w:r>
          </w:p>
        </w:tc>
        <w:tc>
          <w:tcPr>
            <w:tcW w:w="651" w:type="pct"/>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1.310</w:t>
            </w:r>
          </w:p>
        </w:tc>
        <w:tc>
          <w:tcPr>
            <w:tcW w:w="912"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NS</w:t>
            </w:r>
          </w:p>
        </w:tc>
        <w:tc>
          <w:tcPr>
            <w:tcW w:w="795"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0.192</w:t>
            </w:r>
          </w:p>
        </w:tc>
      </w:tr>
      <w:tr w:rsidR="00EE0F2D" w:rsidRPr="00176589" w:rsidTr="00385A4D">
        <w:tc>
          <w:tcPr>
            <w:tcW w:w="839" w:type="pct"/>
            <w:vMerge/>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p>
        </w:tc>
        <w:tc>
          <w:tcPr>
            <w:tcW w:w="797"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BM</w:t>
            </w:r>
          </w:p>
        </w:tc>
        <w:tc>
          <w:tcPr>
            <w:tcW w:w="1006"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b/>
                <w:bCs/>
                <w:lang w:val="en-GB"/>
              </w:rPr>
              <w:t>0.377</w:t>
            </w:r>
            <w:r w:rsidRPr="00176589">
              <w:rPr>
                <w:rFonts w:asciiTheme="majorBidi" w:hAnsiTheme="majorBidi" w:cstheme="majorBidi"/>
                <w:lang w:val="en-GB"/>
              </w:rPr>
              <w:t xml:space="preserve"> (0.583)</w:t>
            </w:r>
          </w:p>
        </w:tc>
        <w:tc>
          <w:tcPr>
            <w:tcW w:w="651" w:type="pct"/>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2.580</w:t>
            </w:r>
          </w:p>
        </w:tc>
        <w:tc>
          <w:tcPr>
            <w:tcW w:w="912"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w:t>
            </w:r>
          </w:p>
        </w:tc>
        <w:tc>
          <w:tcPr>
            <w:tcW w:w="795"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0.011</w:t>
            </w:r>
          </w:p>
        </w:tc>
      </w:tr>
      <w:tr w:rsidR="00EE0F2D" w:rsidRPr="00176589" w:rsidTr="00385A4D">
        <w:tc>
          <w:tcPr>
            <w:tcW w:w="839" w:type="pct"/>
            <w:vMerge/>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p>
        </w:tc>
        <w:tc>
          <w:tcPr>
            <w:tcW w:w="797"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BS</w:t>
            </w:r>
          </w:p>
        </w:tc>
        <w:tc>
          <w:tcPr>
            <w:tcW w:w="1006"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b/>
                <w:bCs/>
                <w:lang w:val="en-GB"/>
              </w:rPr>
            </w:pPr>
            <w:r w:rsidRPr="00176589">
              <w:rPr>
                <w:rFonts w:asciiTheme="majorBidi" w:hAnsiTheme="majorBidi" w:cstheme="majorBidi"/>
                <w:b/>
                <w:bCs/>
                <w:lang w:val="en-GB"/>
              </w:rPr>
              <w:t>0.331 (0.374)</w:t>
            </w:r>
          </w:p>
        </w:tc>
        <w:tc>
          <w:tcPr>
            <w:tcW w:w="651" w:type="pct"/>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1.724</w:t>
            </w:r>
          </w:p>
        </w:tc>
        <w:tc>
          <w:tcPr>
            <w:tcW w:w="912"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w:t>
            </w:r>
          </w:p>
        </w:tc>
        <w:tc>
          <w:tcPr>
            <w:tcW w:w="795"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0.086</w:t>
            </w:r>
          </w:p>
        </w:tc>
      </w:tr>
      <w:tr w:rsidR="00EE0F2D" w:rsidRPr="00176589" w:rsidTr="00385A4D">
        <w:tc>
          <w:tcPr>
            <w:tcW w:w="839" w:type="pct"/>
            <w:vMerge/>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p>
        </w:tc>
        <w:tc>
          <w:tcPr>
            <w:tcW w:w="797"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NED</w:t>
            </w:r>
          </w:p>
        </w:tc>
        <w:tc>
          <w:tcPr>
            <w:tcW w:w="1006"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0.648 (0.896)</w:t>
            </w:r>
          </w:p>
        </w:tc>
        <w:tc>
          <w:tcPr>
            <w:tcW w:w="651" w:type="pct"/>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2.837</w:t>
            </w:r>
          </w:p>
        </w:tc>
        <w:tc>
          <w:tcPr>
            <w:tcW w:w="912"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w:t>
            </w:r>
          </w:p>
        </w:tc>
        <w:tc>
          <w:tcPr>
            <w:tcW w:w="795"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0.005</w:t>
            </w:r>
          </w:p>
        </w:tc>
      </w:tr>
      <w:tr w:rsidR="00EE0F2D" w:rsidRPr="00176589" w:rsidTr="00385A4D">
        <w:tc>
          <w:tcPr>
            <w:tcW w:w="839" w:type="pct"/>
            <w:vMerge w:val="restart"/>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SGM</w:t>
            </w:r>
          </w:p>
        </w:tc>
        <w:tc>
          <w:tcPr>
            <w:tcW w:w="797"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SBM</w:t>
            </w:r>
          </w:p>
        </w:tc>
        <w:tc>
          <w:tcPr>
            <w:tcW w:w="1006"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0.528 (0.705)</w:t>
            </w:r>
          </w:p>
        </w:tc>
        <w:tc>
          <w:tcPr>
            <w:tcW w:w="651" w:type="pct"/>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2.774</w:t>
            </w:r>
          </w:p>
        </w:tc>
        <w:tc>
          <w:tcPr>
            <w:tcW w:w="912"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w:t>
            </w:r>
          </w:p>
        </w:tc>
        <w:tc>
          <w:tcPr>
            <w:tcW w:w="795"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0.006</w:t>
            </w:r>
          </w:p>
        </w:tc>
      </w:tr>
      <w:tr w:rsidR="00EE0F2D" w:rsidRPr="00176589" w:rsidTr="00385A4D">
        <w:tc>
          <w:tcPr>
            <w:tcW w:w="839" w:type="pct"/>
            <w:vMerge/>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p>
        </w:tc>
        <w:tc>
          <w:tcPr>
            <w:tcW w:w="797"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SBS</w:t>
            </w:r>
          </w:p>
        </w:tc>
        <w:tc>
          <w:tcPr>
            <w:tcW w:w="1006"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0.731 (0.859)</w:t>
            </w:r>
          </w:p>
        </w:tc>
        <w:tc>
          <w:tcPr>
            <w:tcW w:w="651" w:type="pct"/>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1.557</w:t>
            </w:r>
          </w:p>
        </w:tc>
        <w:tc>
          <w:tcPr>
            <w:tcW w:w="912"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NS</w:t>
            </w:r>
          </w:p>
        </w:tc>
        <w:tc>
          <w:tcPr>
            <w:tcW w:w="795" w:type="pct"/>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0.121</w:t>
            </w:r>
          </w:p>
        </w:tc>
      </w:tr>
    </w:tbl>
    <w:p w:rsidR="00337DB0" w:rsidRPr="00176589" w:rsidRDefault="00337DB0" w:rsidP="00176589">
      <w:pPr>
        <w:pStyle w:val="BodyTextFirstIndent"/>
        <w:spacing w:after="0" w:line="240" w:lineRule="auto"/>
        <w:ind w:firstLine="0"/>
        <w:jc w:val="both"/>
        <w:rPr>
          <w:rFonts w:asciiTheme="majorBidi" w:hAnsiTheme="majorBidi" w:cstheme="majorBidi"/>
          <w:lang w:val="en-GB"/>
        </w:rPr>
      </w:pPr>
      <w:r w:rsidRPr="00176589">
        <w:rPr>
          <w:rFonts w:asciiTheme="majorBidi" w:hAnsiTheme="majorBidi" w:cstheme="majorBidi"/>
          <w:lang w:val="en-GB"/>
        </w:rPr>
        <w:t>Note: NS = Not Significant.</w:t>
      </w:r>
    </w:p>
    <w:p w:rsidR="00337DB0" w:rsidRPr="00176589" w:rsidRDefault="00337DB0" w:rsidP="00176589">
      <w:pPr>
        <w:pStyle w:val="BodyTextFirstIndent"/>
        <w:numPr>
          <w:ilvl w:val="0"/>
          <w:numId w:val="7"/>
        </w:numPr>
        <w:spacing w:after="0" w:line="240" w:lineRule="auto"/>
        <w:jc w:val="both"/>
        <w:rPr>
          <w:rFonts w:asciiTheme="majorBidi" w:hAnsiTheme="majorBidi" w:cstheme="majorBidi"/>
          <w:lang w:val="en-GB"/>
        </w:rPr>
      </w:pPr>
      <w:r w:rsidRPr="00176589">
        <w:rPr>
          <w:rFonts w:asciiTheme="majorBidi" w:hAnsiTheme="majorBidi" w:cstheme="majorBidi"/>
          <w:lang w:val="en-GB"/>
        </w:rPr>
        <w:t>Bootstrapping confidence intervals for 10% probability of error (α = 0.10).</w:t>
      </w:r>
    </w:p>
    <w:p w:rsidR="00337DB0" w:rsidRPr="00176589" w:rsidRDefault="00337DB0" w:rsidP="00176589">
      <w:pPr>
        <w:pStyle w:val="BodyTextFirstIndent"/>
        <w:spacing w:after="0" w:line="240" w:lineRule="auto"/>
        <w:ind w:left="720" w:firstLine="0"/>
        <w:jc w:val="both"/>
        <w:rPr>
          <w:rFonts w:asciiTheme="majorBidi" w:hAnsiTheme="majorBidi" w:cstheme="majorBidi"/>
          <w:lang w:val="en-GB"/>
        </w:rPr>
      </w:pPr>
      <w:r w:rsidRPr="00176589">
        <w:rPr>
          <w:rFonts w:asciiTheme="majorBidi" w:hAnsiTheme="majorBidi" w:cstheme="majorBidi"/>
          <w:lang w:val="en-GB"/>
        </w:rPr>
        <w:t>The t-value was greater than 1.645 (*p &lt;.10)</w:t>
      </w:r>
    </w:p>
    <w:p w:rsidR="00337DB0" w:rsidRPr="00176589" w:rsidRDefault="00337DB0" w:rsidP="00176589">
      <w:pPr>
        <w:pStyle w:val="BodyTextFirstIndent"/>
        <w:spacing w:after="0" w:line="240" w:lineRule="auto"/>
        <w:ind w:left="720" w:firstLine="0"/>
        <w:jc w:val="both"/>
        <w:rPr>
          <w:rFonts w:asciiTheme="majorBidi" w:hAnsiTheme="majorBidi" w:cstheme="majorBidi"/>
          <w:lang w:val="en-GB"/>
        </w:rPr>
      </w:pPr>
      <w:r w:rsidRPr="00176589">
        <w:rPr>
          <w:rFonts w:asciiTheme="majorBidi" w:hAnsiTheme="majorBidi" w:cstheme="majorBidi"/>
          <w:lang w:val="en-GB"/>
        </w:rPr>
        <w:t>The t-value was greater than1.946 (**p &lt;.05)</w:t>
      </w:r>
    </w:p>
    <w:p w:rsidR="00337DB0" w:rsidRPr="00176589" w:rsidRDefault="00337DB0" w:rsidP="00176589">
      <w:pPr>
        <w:pStyle w:val="BodyTextFirstIndent"/>
        <w:spacing w:after="0" w:line="240" w:lineRule="auto"/>
        <w:ind w:left="720" w:firstLine="0"/>
        <w:jc w:val="both"/>
        <w:rPr>
          <w:rFonts w:asciiTheme="majorBidi" w:hAnsiTheme="majorBidi" w:cstheme="majorBidi"/>
          <w:lang w:val="en-GB"/>
        </w:rPr>
      </w:pPr>
      <w:r w:rsidRPr="00176589">
        <w:rPr>
          <w:rFonts w:asciiTheme="majorBidi" w:hAnsiTheme="majorBidi" w:cstheme="majorBidi"/>
          <w:lang w:val="en-GB"/>
        </w:rPr>
        <w:t>The t-value was greater than 2.57 (***p&lt;.01)</w:t>
      </w:r>
    </w:p>
    <w:p w:rsidR="00337DB0" w:rsidRPr="00176589" w:rsidRDefault="00337DB0" w:rsidP="00176589">
      <w:pPr>
        <w:pStyle w:val="BodyTextFirstIndent"/>
        <w:numPr>
          <w:ilvl w:val="0"/>
          <w:numId w:val="7"/>
        </w:numPr>
        <w:spacing w:after="0" w:line="240" w:lineRule="auto"/>
        <w:jc w:val="both"/>
        <w:rPr>
          <w:rFonts w:asciiTheme="majorBidi" w:hAnsiTheme="majorBidi" w:cstheme="majorBidi"/>
          <w:lang w:val="en-GB"/>
        </w:rPr>
      </w:pPr>
      <w:r w:rsidRPr="00176589">
        <w:rPr>
          <w:rFonts w:asciiTheme="majorBidi" w:hAnsiTheme="majorBidi" w:cstheme="majorBidi"/>
          <w:lang w:val="en-GB"/>
        </w:rPr>
        <w:t xml:space="preserve">Indicators for </w:t>
      </w:r>
      <w:r w:rsidRPr="00176589">
        <w:rPr>
          <w:rFonts w:asciiTheme="majorBidi" w:hAnsiTheme="majorBidi" w:cstheme="majorBidi"/>
          <w:noProof/>
          <w:lang w:val="en-GB"/>
        </w:rPr>
        <w:t>formative</w:t>
      </w:r>
      <w:r w:rsidRPr="00176589">
        <w:rPr>
          <w:rFonts w:asciiTheme="majorBidi" w:hAnsiTheme="majorBidi" w:cstheme="majorBidi"/>
          <w:lang w:val="en-GB"/>
        </w:rPr>
        <w:t xml:space="preserve"> index can have positive (+), negative (-) or zero (0) correlation (outer weights and outer loadings) (Hulland, 1999).  </w:t>
      </w:r>
    </w:p>
    <w:bookmarkEnd w:id="6"/>
    <w:p w:rsidR="00EE0F2D" w:rsidRPr="006E388F" w:rsidRDefault="00EE0F2D" w:rsidP="006E388F">
      <w:pPr>
        <w:pStyle w:val="BodyTextFirstIndent"/>
        <w:spacing w:after="0" w:line="240" w:lineRule="auto"/>
        <w:ind w:firstLine="0"/>
        <w:jc w:val="both"/>
        <w:rPr>
          <w:rFonts w:asciiTheme="majorBidi" w:hAnsiTheme="majorBidi" w:cstheme="majorBidi"/>
          <w:bCs/>
          <w:sz w:val="24"/>
          <w:szCs w:val="24"/>
          <w:lang w:val="en-GB"/>
        </w:rPr>
      </w:pPr>
    </w:p>
    <w:p w:rsidR="00F3244C" w:rsidRPr="006E388F" w:rsidRDefault="000C1D40" w:rsidP="000C1D40">
      <w:pPr>
        <w:pStyle w:val="BodyTextFirstIndent"/>
        <w:spacing w:after="0" w:line="240" w:lineRule="auto"/>
        <w:ind w:firstLine="0"/>
        <w:jc w:val="both"/>
        <w:rPr>
          <w:rFonts w:asciiTheme="majorBidi" w:hAnsiTheme="majorBidi" w:cstheme="majorBidi"/>
          <w:sz w:val="24"/>
          <w:szCs w:val="24"/>
          <w:lang w:val="en-GB"/>
        </w:rPr>
      </w:pPr>
      <w:r w:rsidRPr="006E388F">
        <w:rPr>
          <w:rFonts w:asciiTheme="majorBidi" w:hAnsiTheme="majorBidi" w:cstheme="majorBidi"/>
          <w:bCs/>
          <w:sz w:val="24"/>
          <w:szCs w:val="24"/>
          <w:lang w:val="en-GB"/>
        </w:rPr>
        <w:t>V</w:t>
      </w:r>
      <w:r>
        <w:rPr>
          <w:rFonts w:asciiTheme="majorBidi" w:hAnsiTheme="majorBidi" w:cstheme="majorBidi"/>
          <w:bCs/>
          <w:sz w:val="24"/>
          <w:szCs w:val="24"/>
          <w:lang w:val="en-GB"/>
        </w:rPr>
        <w:t xml:space="preserve">ariance Inflation Factor (VIF) is the </w:t>
      </w:r>
      <w:r w:rsidR="00F3244C" w:rsidRPr="006E388F">
        <w:rPr>
          <w:rFonts w:asciiTheme="majorBidi" w:hAnsiTheme="majorBidi" w:cstheme="majorBidi"/>
          <w:bCs/>
          <w:sz w:val="24"/>
          <w:szCs w:val="24"/>
          <w:lang w:val="en-GB"/>
        </w:rPr>
        <w:t>second assessment was the collinearity iss</w:t>
      </w:r>
      <w:r>
        <w:rPr>
          <w:rFonts w:asciiTheme="majorBidi" w:hAnsiTheme="majorBidi" w:cstheme="majorBidi"/>
          <w:bCs/>
          <w:sz w:val="24"/>
          <w:szCs w:val="24"/>
          <w:lang w:val="en-GB"/>
        </w:rPr>
        <w:t>ue for the measurement model.</w:t>
      </w:r>
      <w:r w:rsidR="00F3244C" w:rsidRPr="006E388F">
        <w:rPr>
          <w:rFonts w:asciiTheme="majorBidi" w:hAnsiTheme="majorBidi" w:cstheme="majorBidi"/>
          <w:bCs/>
          <w:sz w:val="24"/>
          <w:szCs w:val="24"/>
          <w:lang w:val="en-GB"/>
        </w:rPr>
        <w:t xml:space="preserve"> </w:t>
      </w:r>
      <w:r>
        <w:rPr>
          <w:rFonts w:asciiTheme="majorBidi" w:hAnsiTheme="majorBidi" w:cstheme="majorBidi"/>
          <w:bCs/>
          <w:sz w:val="24"/>
          <w:szCs w:val="24"/>
          <w:lang w:val="en-GB"/>
        </w:rPr>
        <w:t>The VIF a</w:t>
      </w:r>
      <w:r w:rsidR="00F3244C" w:rsidRPr="006E388F">
        <w:rPr>
          <w:rFonts w:asciiTheme="majorBidi" w:hAnsiTheme="majorBidi" w:cstheme="majorBidi"/>
          <w:bCs/>
          <w:sz w:val="24"/>
          <w:szCs w:val="24"/>
          <w:lang w:val="en-GB"/>
        </w:rPr>
        <w:t>s described</w:t>
      </w:r>
      <w:r>
        <w:rPr>
          <w:rFonts w:asciiTheme="majorBidi" w:hAnsiTheme="majorBidi" w:cstheme="majorBidi"/>
          <w:bCs/>
          <w:sz w:val="24"/>
          <w:szCs w:val="24"/>
          <w:lang w:val="en-GB"/>
        </w:rPr>
        <w:t xml:space="preserve"> by Chin (1988)</w:t>
      </w:r>
      <w:r w:rsidR="00F3244C" w:rsidRPr="006E388F">
        <w:rPr>
          <w:rFonts w:asciiTheme="majorBidi" w:hAnsiTheme="majorBidi" w:cstheme="majorBidi"/>
          <w:bCs/>
          <w:sz w:val="24"/>
          <w:szCs w:val="24"/>
          <w:lang w:val="en-GB"/>
        </w:rPr>
        <w:t xml:space="preserve"> as the degree to which the standard error is increased due </w:t>
      </w:r>
      <w:r w:rsidR="00EE0F2D" w:rsidRPr="006E388F">
        <w:rPr>
          <w:rFonts w:asciiTheme="majorBidi" w:hAnsiTheme="majorBidi" w:cstheme="majorBidi"/>
          <w:bCs/>
          <w:sz w:val="24"/>
          <w:szCs w:val="24"/>
          <w:lang w:val="en-GB"/>
        </w:rPr>
        <w:t>to the presence of collinearity. T</w:t>
      </w:r>
      <w:r w:rsidR="00F3244C" w:rsidRPr="006E388F">
        <w:rPr>
          <w:rFonts w:asciiTheme="majorBidi" w:hAnsiTheme="majorBidi" w:cstheme="majorBidi"/>
          <w:bCs/>
          <w:sz w:val="24"/>
          <w:szCs w:val="24"/>
          <w:lang w:val="en-GB"/>
        </w:rPr>
        <w:t xml:space="preserve">he value </w:t>
      </w:r>
      <w:r w:rsidR="00F3244C" w:rsidRPr="006E388F">
        <w:rPr>
          <w:rFonts w:asciiTheme="majorBidi" w:hAnsiTheme="majorBidi" w:cstheme="majorBidi"/>
          <w:bCs/>
          <w:noProof/>
          <w:sz w:val="24"/>
          <w:szCs w:val="24"/>
          <w:lang w:val="en-GB"/>
        </w:rPr>
        <w:t>must</w:t>
      </w:r>
      <w:r w:rsidR="00F3244C" w:rsidRPr="006E388F">
        <w:rPr>
          <w:rFonts w:asciiTheme="majorBidi" w:hAnsiTheme="majorBidi" w:cstheme="majorBidi"/>
          <w:bCs/>
          <w:sz w:val="24"/>
          <w:szCs w:val="24"/>
          <w:lang w:val="en-GB"/>
        </w:rPr>
        <w:t xml:space="preserve"> be at 10 or below to ensure that collinearity d</w:t>
      </w:r>
      <w:r>
        <w:rPr>
          <w:rFonts w:asciiTheme="majorBidi" w:hAnsiTheme="majorBidi" w:cstheme="majorBidi"/>
          <w:bCs/>
          <w:sz w:val="24"/>
          <w:szCs w:val="24"/>
          <w:lang w:val="en-GB"/>
        </w:rPr>
        <w:t>oes not exist</w:t>
      </w:r>
      <w:r w:rsidR="00F3244C" w:rsidRPr="006E388F">
        <w:rPr>
          <w:rFonts w:asciiTheme="majorBidi" w:hAnsiTheme="majorBidi" w:cstheme="majorBidi"/>
          <w:bCs/>
          <w:sz w:val="24"/>
          <w:szCs w:val="24"/>
          <w:lang w:val="en-GB"/>
        </w:rPr>
        <w:t xml:space="preserve">. </w:t>
      </w:r>
      <w:r w:rsidR="00E1360C" w:rsidRPr="006E388F">
        <w:rPr>
          <w:rFonts w:asciiTheme="majorBidi" w:hAnsiTheme="majorBidi" w:cstheme="majorBidi"/>
          <w:sz w:val="24"/>
          <w:szCs w:val="24"/>
          <w:lang w:val="en-GB"/>
        </w:rPr>
        <w:t xml:space="preserve">Table </w:t>
      </w:r>
      <w:r>
        <w:rPr>
          <w:rFonts w:asciiTheme="majorBidi" w:hAnsiTheme="majorBidi" w:cstheme="majorBidi"/>
          <w:sz w:val="24"/>
          <w:szCs w:val="24"/>
          <w:lang w:val="en-GB"/>
        </w:rPr>
        <w:t>4</w:t>
      </w:r>
      <w:r w:rsidR="00F3244C" w:rsidRPr="006E388F">
        <w:rPr>
          <w:rFonts w:asciiTheme="majorBidi" w:hAnsiTheme="majorBidi" w:cstheme="majorBidi"/>
          <w:sz w:val="24"/>
          <w:szCs w:val="24"/>
          <w:lang w:val="en-GB"/>
        </w:rPr>
        <w:t xml:space="preserve"> shows all the formative items </w:t>
      </w:r>
      <w:r>
        <w:rPr>
          <w:rFonts w:asciiTheme="majorBidi" w:hAnsiTheme="majorBidi" w:cstheme="majorBidi"/>
          <w:sz w:val="24"/>
          <w:szCs w:val="24"/>
          <w:lang w:val="en-GB"/>
        </w:rPr>
        <w:t>with the VIF all below 10. Thus</w:t>
      </w:r>
      <w:r w:rsidR="00F3244C" w:rsidRPr="006E388F">
        <w:rPr>
          <w:rFonts w:asciiTheme="majorBidi" w:hAnsiTheme="majorBidi" w:cstheme="majorBidi"/>
          <w:sz w:val="24"/>
          <w:szCs w:val="24"/>
          <w:lang w:val="en-GB"/>
        </w:rPr>
        <w:t>, there were no collinearity issues for the formative measurement model (FMM) for this particular study.</w:t>
      </w:r>
    </w:p>
    <w:p w:rsidR="00EE0F2D" w:rsidRPr="006E388F" w:rsidRDefault="000C1D40" w:rsidP="006E388F">
      <w:pPr>
        <w:pStyle w:val="Caption"/>
        <w:rPr>
          <w:rFonts w:asciiTheme="majorBidi" w:hAnsiTheme="majorBidi" w:cstheme="majorBidi"/>
          <w:b w:val="0"/>
          <w:bCs w:val="0"/>
          <w:szCs w:val="24"/>
          <w:lang w:val="en-GB"/>
        </w:rPr>
      </w:pPr>
      <w:bookmarkStart w:id="7" w:name="_Toc490910395"/>
      <w:bookmarkStart w:id="8" w:name="_Toc490042475"/>
      <w:r>
        <w:rPr>
          <w:rFonts w:asciiTheme="majorBidi" w:hAnsiTheme="majorBidi" w:cstheme="majorBidi"/>
          <w:b w:val="0"/>
          <w:bCs w:val="0"/>
          <w:szCs w:val="24"/>
          <w:lang w:val="en-GB"/>
        </w:rPr>
        <w:t>Table 4</w:t>
      </w:r>
      <w:r w:rsidR="00EE0F2D" w:rsidRPr="006E388F">
        <w:rPr>
          <w:rFonts w:asciiTheme="majorBidi" w:hAnsiTheme="majorBidi" w:cstheme="majorBidi"/>
          <w:b w:val="0"/>
          <w:bCs w:val="0"/>
          <w:szCs w:val="24"/>
          <w:lang w:val="en-GB"/>
        </w:rPr>
        <w:t xml:space="preserve"> Collinearity Issues</w:t>
      </w:r>
      <w:bookmarkEnd w:id="7"/>
    </w:p>
    <w:tbl>
      <w:tblPr>
        <w:tblW w:w="0" w:type="auto"/>
        <w:jc w:val="center"/>
        <w:tblBorders>
          <w:top w:val="single" w:sz="8" w:space="0" w:color="000000"/>
          <w:bottom w:val="single" w:sz="8" w:space="0" w:color="000000"/>
        </w:tblBorders>
        <w:shd w:val="clear" w:color="auto" w:fill="EEECE1"/>
        <w:tblLook w:val="04A0" w:firstRow="1" w:lastRow="0" w:firstColumn="1" w:lastColumn="0" w:noHBand="0" w:noVBand="1"/>
      </w:tblPr>
      <w:tblGrid>
        <w:gridCol w:w="693"/>
        <w:gridCol w:w="1392"/>
        <w:gridCol w:w="1775"/>
      </w:tblGrid>
      <w:tr w:rsidR="00EE0F2D" w:rsidRPr="00176589" w:rsidTr="00DD44AD">
        <w:trPr>
          <w:jc w:val="center"/>
        </w:trPr>
        <w:tc>
          <w:tcPr>
            <w:tcW w:w="0" w:type="auto"/>
            <w:shd w:val="clear" w:color="auto" w:fill="EEECE1"/>
          </w:tcPr>
          <w:bookmarkEnd w:id="8"/>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Item</w:t>
            </w:r>
          </w:p>
        </w:tc>
        <w:tc>
          <w:tcPr>
            <w:tcW w:w="0" w:type="auto"/>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lang w:val="en-GB"/>
              </w:rPr>
            </w:pPr>
            <w:r w:rsidRPr="00176589">
              <w:rPr>
                <w:rFonts w:asciiTheme="majorBidi" w:hAnsiTheme="majorBidi" w:cstheme="majorBidi"/>
                <w:lang w:val="en-GB"/>
              </w:rPr>
              <w:t>VIF (&lt;10.00)</w:t>
            </w:r>
          </w:p>
          <w:p w:rsidR="00337DB0" w:rsidRPr="00176589" w:rsidRDefault="00337DB0" w:rsidP="00176589">
            <w:pPr>
              <w:pStyle w:val="BodyTextFirstIndent"/>
              <w:spacing w:after="0" w:line="240" w:lineRule="auto"/>
              <w:ind w:firstLine="0"/>
              <w:rPr>
                <w:rFonts w:asciiTheme="majorBidi" w:hAnsiTheme="majorBidi" w:cstheme="majorBidi"/>
                <w:lang w:val="en-GB"/>
              </w:rPr>
            </w:pPr>
            <w:r w:rsidRPr="00176589">
              <w:rPr>
                <w:rFonts w:asciiTheme="majorBidi" w:hAnsiTheme="majorBidi" w:cstheme="majorBidi"/>
                <w:lang w:val="en-GB"/>
              </w:rPr>
              <w:t>(Chin,1988)</w:t>
            </w:r>
          </w:p>
        </w:tc>
        <w:tc>
          <w:tcPr>
            <w:tcW w:w="0" w:type="auto"/>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lang w:val="en-GB"/>
              </w:rPr>
            </w:pPr>
            <w:r w:rsidRPr="00176589">
              <w:rPr>
                <w:rFonts w:asciiTheme="majorBidi" w:hAnsiTheme="majorBidi" w:cstheme="majorBidi"/>
                <w:lang w:val="en-GB"/>
              </w:rPr>
              <w:t>Collinearity Exist</w:t>
            </w:r>
          </w:p>
        </w:tc>
      </w:tr>
      <w:tr w:rsidR="00EE0F2D" w:rsidRPr="00176589" w:rsidTr="00DD44AD">
        <w:trPr>
          <w:jc w:val="center"/>
        </w:trPr>
        <w:tc>
          <w:tcPr>
            <w:tcW w:w="0" w:type="auto"/>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BC</w:t>
            </w:r>
          </w:p>
        </w:tc>
        <w:tc>
          <w:tcPr>
            <w:tcW w:w="0" w:type="auto"/>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1.460</w:t>
            </w:r>
          </w:p>
        </w:tc>
        <w:tc>
          <w:tcPr>
            <w:tcW w:w="0" w:type="auto"/>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Not exist</w:t>
            </w:r>
          </w:p>
        </w:tc>
      </w:tr>
      <w:tr w:rsidR="00EE0F2D" w:rsidRPr="00176589" w:rsidTr="00DD44AD">
        <w:trPr>
          <w:jc w:val="center"/>
        </w:trPr>
        <w:tc>
          <w:tcPr>
            <w:tcW w:w="0" w:type="auto"/>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BM</w:t>
            </w:r>
          </w:p>
        </w:tc>
        <w:tc>
          <w:tcPr>
            <w:tcW w:w="0" w:type="auto"/>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1.113</w:t>
            </w:r>
          </w:p>
        </w:tc>
        <w:tc>
          <w:tcPr>
            <w:tcW w:w="0" w:type="auto"/>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Not exist</w:t>
            </w:r>
          </w:p>
        </w:tc>
      </w:tr>
      <w:tr w:rsidR="00EE0F2D" w:rsidRPr="00176589" w:rsidTr="00DD44AD">
        <w:trPr>
          <w:jc w:val="center"/>
        </w:trPr>
        <w:tc>
          <w:tcPr>
            <w:tcW w:w="0" w:type="auto"/>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BS</w:t>
            </w:r>
          </w:p>
        </w:tc>
        <w:tc>
          <w:tcPr>
            <w:tcW w:w="0" w:type="auto"/>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1.598</w:t>
            </w:r>
          </w:p>
        </w:tc>
        <w:tc>
          <w:tcPr>
            <w:tcW w:w="0" w:type="auto"/>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Not exist</w:t>
            </w:r>
          </w:p>
        </w:tc>
      </w:tr>
      <w:tr w:rsidR="00EE0F2D" w:rsidRPr="00176589" w:rsidTr="00DD44AD">
        <w:trPr>
          <w:jc w:val="center"/>
        </w:trPr>
        <w:tc>
          <w:tcPr>
            <w:tcW w:w="0" w:type="auto"/>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NED</w:t>
            </w:r>
          </w:p>
        </w:tc>
        <w:tc>
          <w:tcPr>
            <w:tcW w:w="0" w:type="auto"/>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1.354</w:t>
            </w:r>
          </w:p>
        </w:tc>
        <w:tc>
          <w:tcPr>
            <w:tcW w:w="0" w:type="auto"/>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Not exist</w:t>
            </w:r>
          </w:p>
        </w:tc>
      </w:tr>
      <w:tr w:rsidR="00EE0F2D" w:rsidRPr="00176589" w:rsidTr="00DD44AD">
        <w:trPr>
          <w:jc w:val="center"/>
        </w:trPr>
        <w:tc>
          <w:tcPr>
            <w:tcW w:w="0" w:type="auto"/>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SBM</w:t>
            </w:r>
          </w:p>
        </w:tc>
        <w:tc>
          <w:tcPr>
            <w:tcW w:w="0" w:type="auto"/>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1.062</w:t>
            </w:r>
          </w:p>
        </w:tc>
        <w:tc>
          <w:tcPr>
            <w:tcW w:w="0" w:type="auto"/>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Not exist</w:t>
            </w:r>
          </w:p>
        </w:tc>
      </w:tr>
      <w:tr w:rsidR="00EE0F2D" w:rsidRPr="00176589" w:rsidTr="00DD44AD">
        <w:trPr>
          <w:jc w:val="center"/>
        </w:trPr>
        <w:tc>
          <w:tcPr>
            <w:tcW w:w="0" w:type="auto"/>
            <w:shd w:val="clear" w:color="auto" w:fill="EEECE1"/>
          </w:tcPr>
          <w:p w:rsidR="00337DB0" w:rsidRPr="00176589" w:rsidRDefault="00337DB0" w:rsidP="00176589">
            <w:pPr>
              <w:pStyle w:val="BodyTextFirstIndent"/>
              <w:spacing w:after="0" w:line="240" w:lineRule="auto"/>
              <w:ind w:firstLine="0"/>
              <w:rPr>
                <w:rFonts w:asciiTheme="majorBidi" w:hAnsiTheme="majorBidi" w:cstheme="majorBidi"/>
                <w:b/>
                <w:bCs/>
                <w:lang w:val="en-GB"/>
              </w:rPr>
            </w:pPr>
            <w:r w:rsidRPr="00176589">
              <w:rPr>
                <w:rFonts w:asciiTheme="majorBidi" w:hAnsiTheme="majorBidi" w:cstheme="majorBidi"/>
                <w:b/>
                <w:bCs/>
                <w:lang w:val="en-GB"/>
              </w:rPr>
              <w:t>SBS</w:t>
            </w:r>
          </w:p>
        </w:tc>
        <w:tc>
          <w:tcPr>
            <w:tcW w:w="0" w:type="auto"/>
            <w:shd w:val="clear" w:color="auto" w:fill="EEECE1"/>
          </w:tcPr>
          <w:p w:rsidR="00337DB0" w:rsidRPr="00176589" w:rsidRDefault="00337DB0" w:rsidP="00176589">
            <w:pPr>
              <w:pStyle w:val="BodyTextFirstIndent"/>
              <w:spacing w:after="0" w:line="240" w:lineRule="auto"/>
              <w:ind w:firstLine="0"/>
              <w:jc w:val="center"/>
              <w:rPr>
                <w:rFonts w:asciiTheme="majorBidi" w:hAnsiTheme="majorBidi" w:cstheme="majorBidi"/>
                <w:lang w:val="en-GB"/>
              </w:rPr>
            </w:pPr>
            <w:r w:rsidRPr="00176589">
              <w:rPr>
                <w:rFonts w:asciiTheme="majorBidi" w:hAnsiTheme="majorBidi" w:cstheme="majorBidi"/>
                <w:lang w:val="en-GB"/>
              </w:rPr>
              <w:t>1.062</w:t>
            </w:r>
          </w:p>
        </w:tc>
        <w:tc>
          <w:tcPr>
            <w:tcW w:w="0" w:type="auto"/>
            <w:shd w:val="clear" w:color="auto" w:fill="EEECE1"/>
          </w:tcPr>
          <w:p w:rsidR="00337DB0" w:rsidRPr="00176589" w:rsidRDefault="00337DB0" w:rsidP="00176589">
            <w:pPr>
              <w:spacing w:after="0" w:line="240" w:lineRule="auto"/>
              <w:jc w:val="center"/>
              <w:rPr>
                <w:rFonts w:asciiTheme="majorBidi" w:hAnsiTheme="majorBidi" w:cstheme="majorBidi"/>
                <w:lang w:val="en-GB"/>
              </w:rPr>
            </w:pPr>
            <w:r w:rsidRPr="00176589">
              <w:rPr>
                <w:rFonts w:asciiTheme="majorBidi" w:hAnsiTheme="majorBidi" w:cstheme="majorBidi"/>
                <w:lang w:val="en-GB"/>
              </w:rPr>
              <w:t>Not exist</w:t>
            </w:r>
          </w:p>
        </w:tc>
      </w:tr>
    </w:tbl>
    <w:p w:rsidR="005C7D70" w:rsidRDefault="005C7D70" w:rsidP="000C1D40">
      <w:pPr>
        <w:pStyle w:val="BodyTextFirstIndent"/>
        <w:spacing w:line="240" w:lineRule="auto"/>
        <w:ind w:firstLine="720"/>
        <w:jc w:val="both"/>
        <w:rPr>
          <w:rFonts w:asciiTheme="majorBidi" w:hAnsiTheme="majorBidi" w:cstheme="majorBidi"/>
          <w:sz w:val="24"/>
          <w:szCs w:val="24"/>
          <w:lang w:val="en-GB"/>
        </w:rPr>
      </w:pPr>
    </w:p>
    <w:p w:rsidR="00F3244C" w:rsidRPr="006E388F" w:rsidRDefault="00F3244C" w:rsidP="000C1D40">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In conclusion, the formative measurement model in this study was considered to </w:t>
      </w:r>
      <w:r w:rsidRPr="006E388F">
        <w:rPr>
          <w:rFonts w:asciiTheme="majorBidi" w:hAnsiTheme="majorBidi" w:cstheme="majorBidi"/>
          <w:noProof/>
          <w:sz w:val="24"/>
          <w:szCs w:val="24"/>
          <w:lang w:val="en-GB"/>
        </w:rPr>
        <w:t>fulfil</w:t>
      </w:r>
      <w:r w:rsidR="00176589">
        <w:rPr>
          <w:rFonts w:asciiTheme="majorBidi" w:hAnsiTheme="majorBidi" w:cstheme="majorBidi"/>
          <w:noProof/>
          <w:sz w:val="24"/>
          <w:szCs w:val="24"/>
          <w:lang w:val="en-GB"/>
        </w:rPr>
        <w:t>l</w:t>
      </w:r>
      <w:r w:rsidRPr="006E388F">
        <w:rPr>
          <w:rFonts w:asciiTheme="majorBidi" w:hAnsiTheme="majorBidi" w:cstheme="majorBidi"/>
          <w:sz w:val="24"/>
          <w:szCs w:val="24"/>
          <w:lang w:val="en-GB"/>
        </w:rPr>
        <w:t xml:space="preserve"> the major requirements of the PLS-SEM analysis in that it had met all the requirements for free/less collinearity and all the indicators were significant and relevant to be retained for further testing in the structural model. All the indicators can be used for predicting the </w:t>
      </w:r>
      <w:r w:rsidRPr="006E388F">
        <w:rPr>
          <w:rFonts w:asciiTheme="majorBidi" w:hAnsiTheme="majorBidi" w:cstheme="majorBidi"/>
          <w:sz w:val="24"/>
          <w:szCs w:val="24"/>
          <w:lang w:val="en-GB"/>
        </w:rPr>
        <w:lastRenderedPageBreak/>
        <w:t xml:space="preserve">concept/theory for this particular study. Therefore, further analysis can be conducted to ensure the structural measurement results. </w:t>
      </w:r>
    </w:p>
    <w:p w:rsidR="00180968" w:rsidRPr="006E388F" w:rsidRDefault="00556A6F" w:rsidP="00556A6F">
      <w:pPr>
        <w:pStyle w:val="BodyTextFirstIndent"/>
        <w:spacing w:after="0" w:line="240" w:lineRule="auto"/>
        <w:ind w:firstLine="0"/>
        <w:jc w:val="both"/>
        <w:rPr>
          <w:rFonts w:asciiTheme="majorBidi" w:hAnsiTheme="majorBidi" w:cstheme="majorBidi"/>
          <w:b/>
          <w:bCs/>
          <w:sz w:val="24"/>
          <w:szCs w:val="24"/>
          <w:lang w:val="en-GB"/>
        </w:rPr>
      </w:pPr>
      <w:r>
        <w:rPr>
          <w:rFonts w:asciiTheme="majorBidi" w:hAnsiTheme="majorBidi" w:cstheme="majorBidi"/>
          <w:b/>
          <w:bCs/>
          <w:sz w:val="24"/>
          <w:szCs w:val="24"/>
          <w:lang w:val="en-GB"/>
        </w:rPr>
        <w:t>Findings and Discussion</w:t>
      </w:r>
    </w:p>
    <w:p w:rsidR="003640BB" w:rsidRPr="006E388F" w:rsidRDefault="000C1D40" w:rsidP="001A1EDF">
      <w:pPr>
        <w:pStyle w:val="BodyText"/>
        <w:spacing w:line="240" w:lineRule="auto"/>
        <w:rPr>
          <w:rFonts w:asciiTheme="majorBidi" w:hAnsiTheme="majorBidi" w:cstheme="majorBidi"/>
          <w:lang w:val="en-GB"/>
        </w:rPr>
      </w:pPr>
      <w:r>
        <w:rPr>
          <w:rFonts w:asciiTheme="majorBidi" w:hAnsiTheme="majorBidi" w:cstheme="majorBidi"/>
          <w:lang w:val="en-GB"/>
        </w:rPr>
        <w:t>The structural model comprised</w:t>
      </w:r>
      <w:r w:rsidR="003640BB" w:rsidRPr="006E388F">
        <w:rPr>
          <w:rFonts w:asciiTheme="majorBidi" w:hAnsiTheme="majorBidi" w:cstheme="majorBidi"/>
          <w:lang w:val="en-GB"/>
        </w:rPr>
        <w:t xml:space="preserve"> the hypothesized relationships between the exogenous </w:t>
      </w:r>
      <w:r>
        <w:rPr>
          <w:rFonts w:asciiTheme="majorBidi" w:hAnsiTheme="majorBidi" w:cstheme="majorBidi"/>
          <w:lang w:val="en-GB"/>
        </w:rPr>
        <w:t>(CGM and SGM) and endogenous variable (FP)</w:t>
      </w:r>
      <w:r w:rsidR="003640BB" w:rsidRPr="006E388F">
        <w:rPr>
          <w:rFonts w:asciiTheme="majorBidi" w:hAnsiTheme="majorBidi" w:cstheme="majorBidi"/>
          <w:lang w:val="en-GB"/>
        </w:rPr>
        <w:t xml:space="preserve"> in this study.  This shows how well the theoretical model pre</w:t>
      </w:r>
      <w:r w:rsidR="001A1EDF">
        <w:rPr>
          <w:rFonts w:asciiTheme="majorBidi" w:hAnsiTheme="majorBidi" w:cstheme="majorBidi"/>
          <w:lang w:val="en-GB"/>
        </w:rPr>
        <w:t xml:space="preserve">dicts the hypothesized paths. </w:t>
      </w:r>
      <w:r w:rsidR="003640BB" w:rsidRPr="006E388F">
        <w:rPr>
          <w:rFonts w:asciiTheme="majorBidi" w:hAnsiTheme="majorBidi" w:cstheme="majorBidi"/>
          <w:lang w:val="en-GB"/>
        </w:rPr>
        <w:t xml:space="preserve">The key criteria for examining the hypothesized relationships are the R² values and the significance of the path coefficients.  The R² value is a measure of the model’s predictive accuracy and is calculated as the squared correlation between a specific endogenous construct’s actual and predicted values.  High R² values indicate that the values of the construct can be well predicted via the PLS path model.  </w:t>
      </w:r>
    </w:p>
    <w:p w:rsidR="003640BB" w:rsidRPr="006E388F" w:rsidRDefault="001A1EDF" w:rsidP="001A1EDF">
      <w:pPr>
        <w:pStyle w:val="BodyText"/>
        <w:spacing w:line="240" w:lineRule="auto"/>
        <w:ind w:firstLine="720"/>
        <w:rPr>
          <w:rFonts w:asciiTheme="majorBidi" w:hAnsiTheme="majorBidi" w:cstheme="majorBidi"/>
          <w:lang w:val="en-GB"/>
        </w:rPr>
      </w:pPr>
      <w:r>
        <w:rPr>
          <w:rFonts w:asciiTheme="majorBidi" w:hAnsiTheme="majorBidi" w:cstheme="majorBidi"/>
          <w:lang w:val="en-GB"/>
        </w:rPr>
        <w:t>T</w:t>
      </w:r>
      <w:r w:rsidR="003640BB" w:rsidRPr="006E388F">
        <w:rPr>
          <w:rFonts w:asciiTheme="majorBidi" w:hAnsiTheme="majorBidi" w:cstheme="majorBidi"/>
          <w:lang w:val="en-GB"/>
        </w:rPr>
        <w:t>here is no fixed rule of thumb for acceptable R² values as this depends on the model complexity and the research discipline</w:t>
      </w:r>
      <w:r>
        <w:rPr>
          <w:rFonts w:asciiTheme="majorBidi" w:hAnsiTheme="majorBidi" w:cstheme="majorBidi"/>
          <w:lang w:val="en-GB"/>
        </w:rPr>
        <w:t xml:space="preserve"> (</w:t>
      </w:r>
      <w:r w:rsidRPr="006E388F">
        <w:rPr>
          <w:rFonts w:asciiTheme="majorBidi" w:hAnsiTheme="majorBidi" w:cstheme="majorBidi"/>
          <w:lang w:val="en-GB"/>
        </w:rPr>
        <w:t>Hair</w:t>
      </w:r>
      <w:r>
        <w:rPr>
          <w:rFonts w:asciiTheme="majorBidi" w:hAnsiTheme="majorBidi" w:cstheme="majorBidi"/>
          <w:lang w:val="en-GB"/>
        </w:rPr>
        <w:t xml:space="preserve"> et al., 2017)</w:t>
      </w:r>
      <w:r w:rsidR="003640BB" w:rsidRPr="006E388F">
        <w:rPr>
          <w:rFonts w:asciiTheme="majorBidi" w:hAnsiTheme="majorBidi" w:cstheme="majorBidi"/>
          <w:lang w:val="en-GB"/>
        </w:rPr>
        <w:t>. The higher the R² values, the better the construct is explained by the latent variables in the structural model that point at it via structural model path relationships.  Hence, the coefficient represents the exogenous latent variables combined effects on the endogenous latent var</w:t>
      </w:r>
      <w:r>
        <w:rPr>
          <w:rFonts w:asciiTheme="majorBidi" w:hAnsiTheme="majorBidi" w:cstheme="majorBidi"/>
          <w:lang w:val="en-GB"/>
        </w:rPr>
        <w:t>iables.  This study took a critical</w:t>
      </w:r>
      <w:r w:rsidR="003640BB" w:rsidRPr="006E388F">
        <w:rPr>
          <w:rFonts w:asciiTheme="majorBidi" w:hAnsiTheme="majorBidi" w:cstheme="majorBidi"/>
          <w:lang w:val="en-GB"/>
        </w:rPr>
        <w:t xml:space="preserve"> ru</w:t>
      </w:r>
      <w:r>
        <w:rPr>
          <w:rFonts w:asciiTheme="majorBidi" w:hAnsiTheme="majorBidi" w:cstheme="majorBidi"/>
          <w:lang w:val="en-GB"/>
        </w:rPr>
        <w:t xml:space="preserve">le given by Hair et al. (2011), </w:t>
      </w:r>
      <w:r w:rsidR="006B7BE8">
        <w:rPr>
          <w:rFonts w:asciiTheme="majorBidi" w:hAnsiTheme="majorBidi" w:cstheme="majorBidi"/>
          <w:lang w:val="en-GB"/>
        </w:rPr>
        <w:t xml:space="preserve">i.e., </w:t>
      </w:r>
      <w:r w:rsidR="003640BB" w:rsidRPr="006E388F">
        <w:rPr>
          <w:rFonts w:asciiTheme="majorBidi" w:hAnsiTheme="majorBidi" w:cstheme="majorBidi"/>
          <w:lang w:val="en-GB"/>
        </w:rPr>
        <w:t xml:space="preserve">R² of 0.75 as substantial, 0.50 as moderate, and 0.25 as weak. </w:t>
      </w:r>
    </w:p>
    <w:p w:rsidR="00556A6F" w:rsidRDefault="00556A6F" w:rsidP="006E388F">
      <w:pPr>
        <w:pStyle w:val="Caption"/>
        <w:rPr>
          <w:rFonts w:asciiTheme="majorBidi" w:hAnsiTheme="majorBidi" w:cstheme="majorBidi"/>
          <w:b w:val="0"/>
          <w:bCs w:val="0"/>
          <w:szCs w:val="24"/>
          <w:lang w:val="en-GB"/>
        </w:rPr>
      </w:pPr>
      <w:bookmarkStart w:id="9" w:name="_Toc490042476"/>
    </w:p>
    <w:p w:rsidR="003640BB" w:rsidRPr="006E388F" w:rsidRDefault="003640BB" w:rsidP="006E388F">
      <w:pPr>
        <w:pStyle w:val="Caption"/>
        <w:rPr>
          <w:rFonts w:asciiTheme="majorBidi" w:hAnsiTheme="majorBidi" w:cstheme="majorBidi"/>
          <w:b w:val="0"/>
          <w:bCs w:val="0"/>
          <w:szCs w:val="24"/>
          <w:lang w:val="en-GB"/>
        </w:rPr>
      </w:pPr>
      <w:r w:rsidRPr="006E388F">
        <w:rPr>
          <w:rFonts w:asciiTheme="majorBidi" w:hAnsiTheme="majorBidi" w:cstheme="majorBidi"/>
          <w:b w:val="0"/>
          <w:bCs w:val="0"/>
          <w:szCs w:val="24"/>
          <w:lang w:val="en-GB"/>
        </w:rPr>
        <w:t>Ta</w:t>
      </w:r>
      <w:r w:rsidR="00B53509">
        <w:rPr>
          <w:rFonts w:asciiTheme="majorBidi" w:hAnsiTheme="majorBidi" w:cstheme="majorBidi"/>
          <w:b w:val="0"/>
          <w:bCs w:val="0"/>
          <w:szCs w:val="24"/>
          <w:lang w:val="en-GB"/>
        </w:rPr>
        <w:t>ble 5</w:t>
      </w:r>
      <w:r w:rsidRPr="006E388F">
        <w:rPr>
          <w:rFonts w:asciiTheme="majorBidi" w:hAnsiTheme="majorBidi" w:cstheme="majorBidi"/>
          <w:b w:val="0"/>
          <w:bCs w:val="0"/>
          <w:szCs w:val="24"/>
          <w:lang w:val="en-GB"/>
        </w:rPr>
        <w:t xml:space="preserve"> The Results of R²</w:t>
      </w:r>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573"/>
        <w:gridCol w:w="1110"/>
        <w:gridCol w:w="1418"/>
      </w:tblGrid>
      <w:tr w:rsidR="003640BB" w:rsidRPr="006E388F" w:rsidTr="00DD44AD">
        <w:trPr>
          <w:jc w:val="center"/>
        </w:trPr>
        <w:tc>
          <w:tcPr>
            <w:tcW w:w="1438" w:type="dxa"/>
            <w:shd w:val="clear" w:color="auto" w:fill="auto"/>
          </w:tcPr>
          <w:p w:rsidR="003640BB" w:rsidRPr="006E388F" w:rsidRDefault="003640BB" w:rsidP="006E388F">
            <w:pPr>
              <w:pStyle w:val="BodyTextFirstIndent"/>
              <w:spacing w:line="240" w:lineRule="auto"/>
              <w:ind w:firstLine="0"/>
              <w:rPr>
                <w:rFonts w:asciiTheme="majorBidi" w:hAnsiTheme="majorBidi" w:cstheme="majorBidi"/>
                <w:b/>
                <w:bCs/>
                <w:sz w:val="24"/>
                <w:szCs w:val="24"/>
                <w:lang w:val="en-GB"/>
              </w:rPr>
            </w:pPr>
            <w:r w:rsidRPr="006E388F">
              <w:rPr>
                <w:rFonts w:asciiTheme="majorBidi" w:hAnsiTheme="majorBidi" w:cstheme="majorBidi"/>
                <w:b/>
                <w:bCs/>
                <w:sz w:val="24"/>
                <w:szCs w:val="24"/>
                <w:lang w:val="en-GB"/>
              </w:rPr>
              <w:t>Endogenous Latent Variable</w:t>
            </w:r>
          </w:p>
        </w:tc>
        <w:tc>
          <w:tcPr>
            <w:tcW w:w="1573" w:type="dxa"/>
            <w:shd w:val="clear" w:color="auto" w:fill="auto"/>
          </w:tcPr>
          <w:p w:rsidR="003640BB" w:rsidRPr="006E388F" w:rsidRDefault="003640BB" w:rsidP="006E388F">
            <w:pPr>
              <w:pStyle w:val="BodyTextFirstIndent"/>
              <w:spacing w:line="240" w:lineRule="auto"/>
              <w:ind w:firstLine="0"/>
              <w:rPr>
                <w:rFonts w:asciiTheme="majorBidi" w:hAnsiTheme="majorBidi" w:cstheme="majorBidi"/>
                <w:b/>
                <w:bCs/>
                <w:sz w:val="24"/>
                <w:szCs w:val="24"/>
                <w:lang w:val="en-GB"/>
              </w:rPr>
            </w:pPr>
            <w:r w:rsidRPr="006E388F">
              <w:rPr>
                <w:rFonts w:asciiTheme="majorBidi" w:hAnsiTheme="majorBidi" w:cstheme="majorBidi"/>
                <w:b/>
                <w:bCs/>
                <w:sz w:val="24"/>
                <w:szCs w:val="24"/>
                <w:lang w:val="en-GB"/>
              </w:rPr>
              <w:t>Exogenous Variable</w:t>
            </w:r>
          </w:p>
        </w:tc>
        <w:tc>
          <w:tcPr>
            <w:tcW w:w="1110"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b/>
                <w:bCs/>
                <w:sz w:val="24"/>
                <w:szCs w:val="24"/>
                <w:lang w:val="en-GB"/>
              </w:rPr>
            </w:pPr>
            <w:r w:rsidRPr="006E388F">
              <w:rPr>
                <w:rFonts w:asciiTheme="majorBidi" w:hAnsiTheme="majorBidi" w:cstheme="majorBidi"/>
                <w:b/>
                <w:bCs/>
                <w:sz w:val="24"/>
                <w:szCs w:val="24"/>
                <w:lang w:val="en-GB"/>
              </w:rPr>
              <w:t>R² Value</w:t>
            </w:r>
          </w:p>
        </w:tc>
        <w:tc>
          <w:tcPr>
            <w:tcW w:w="1418"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b/>
                <w:bCs/>
                <w:sz w:val="24"/>
                <w:szCs w:val="24"/>
                <w:lang w:val="en-GB"/>
              </w:rPr>
            </w:pPr>
            <w:r w:rsidRPr="006E388F">
              <w:rPr>
                <w:rFonts w:asciiTheme="majorBidi" w:hAnsiTheme="majorBidi" w:cstheme="majorBidi"/>
                <w:b/>
                <w:bCs/>
                <w:sz w:val="24"/>
                <w:szCs w:val="24"/>
                <w:lang w:val="en-GB"/>
              </w:rPr>
              <w:t>Results</w:t>
            </w:r>
          </w:p>
        </w:tc>
      </w:tr>
      <w:tr w:rsidR="003640BB" w:rsidRPr="006E388F" w:rsidTr="00DD44AD">
        <w:trPr>
          <w:jc w:val="center"/>
        </w:trPr>
        <w:tc>
          <w:tcPr>
            <w:tcW w:w="1438"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ROE</w:t>
            </w:r>
          </w:p>
        </w:tc>
        <w:tc>
          <w:tcPr>
            <w:tcW w:w="1573"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CGM</w:t>
            </w:r>
          </w:p>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SGM</w:t>
            </w:r>
          </w:p>
        </w:tc>
        <w:tc>
          <w:tcPr>
            <w:tcW w:w="1110"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0.488</w:t>
            </w:r>
          </w:p>
        </w:tc>
        <w:tc>
          <w:tcPr>
            <w:tcW w:w="1418"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noProof/>
                <w:sz w:val="24"/>
                <w:szCs w:val="24"/>
                <w:lang w:val="en-GB"/>
              </w:rPr>
              <w:t>Weak</w:t>
            </w:r>
          </w:p>
        </w:tc>
      </w:tr>
      <w:tr w:rsidR="003640BB" w:rsidRPr="006E388F" w:rsidTr="00DD44AD">
        <w:trPr>
          <w:jc w:val="center"/>
        </w:trPr>
        <w:tc>
          <w:tcPr>
            <w:tcW w:w="1438"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ROA</w:t>
            </w:r>
          </w:p>
        </w:tc>
        <w:tc>
          <w:tcPr>
            <w:tcW w:w="1573"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CGM</w:t>
            </w:r>
          </w:p>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SGM</w:t>
            </w:r>
          </w:p>
        </w:tc>
        <w:tc>
          <w:tcPr>
            <w:tcW w:w="1110"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0.313</w:t>
            </w:r>
          </w:p>
        </w:tc>
        <w:tc>
          <w:tcPr>
            <w:tcW w:w="1418"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Weak</w:t>
            </w:r>
          </w:p>
        </w:tc>
      </w:tr>
      <w:tr w:rsidR="003640BB" w:rsidRPr="006E388F" w:rsidTr="00DD44AD">
        <w:trPr>
          <w:jc w:val="center"/>
        </w:trPr>
        <w:tc>
          <w:tcPr>
            <w:tcW w:w="1438"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CTI</w:t>
            </w:r>
          </w:p>
        </w:tc>
        <w:tc>
          <w:tcPr>
            <w:tcW w:w="1573"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CGM</w:t>
            </w:r>
          </w:p>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SGM</w:t>
            </w:r>
          </w:p>
        </w:tc>
        <w:tc>
          <w:tcPr>
            <w:tcW w:w="1110"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0.439</w:t>
            </w:r>
          </w:p>
        </w:tc>
        <w:tc>
          <w:tcPr>
            <w:tcW w:w="1418" w:type="dxa"/>
            <w:shd w:val="clear" w:color="auto" w:fill="auto"/>
          </w:tcPr>
          <w:p w:rsidR="003640BB" w:rsidRPr="006E388F" w:rsidRDefault="003640BB"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Weak</w:t>
            </w:r>
          </w:p>
        </w:tc>
      </w:tr>
    </w:tbl>
    <w:p w:rsidR="003640BB" w:rsidRPr="00176589" w:rsidRDefault="003640BB" w:rsidP="00176589">
      <w:pPr>
        <w:pStyle w:val="BodyTextFirstIndent"/>
        <w:spacing w:after="0" w:line="240" w:lineRule="auto"/>
        <w:ind w:firstLine="0"/>
        <w:jc w:val="both"/>
        <w:rPr>
          <w:rFonts w:asciiTheme="majorBidi" w:hAnsiTheme="majorBidi" w:cstheme="majorBidi"/>
          <w:b/>
          <w:bCs/>
          <w:lang w:val="en-GB"/>
        </w:rPr>
      </w:pPr>
      <w:r w:rsidRPr="00176589">
        <w:rPr>
          <w:rFonts w:asciiTheme="majorBidi" w:hAnsiTheme="majorBidi" w:cstheme="majorBidi"/>
          <w:b/>
          <w:bCs/>
          <w:lang w:val="en-GB"/>
        </w:rPr>
        <w:t xml:space="preserve">Note:  </w:t>
      </w:r>
    </w:p>
    <w:p w:rsidR="003640BB" w:rsidRPr="00176589" w:rsidRDefault="003640BB" w:rsidP="00176589">
      <w:pPr>
        <w:pStyle w:val="BodyTextFirstIndent"/>
        <w:spacing w:after="0" w:line="240" w:lineRule="auto"/>
        <w:ind w:firstLine="0"/>
        <w:jc w:val="both"/>
        <w:rPr>
          <w:rFonts w:asciiTheme="majorBidi" w:hAnsiTheme="majorBidi" w:cstheme="majorBidi"/>
          <w:lang w:val="en-GB"/>
        </w:rPr>
      </w:pPr>
      <w:r w:rsidRPr="00176589">
        <w:rPr>
          <w:rFonts w:asciiTheme="majorBidi" w:hAnsiTheme="majorBidi" w:cstheme="majorBidi"/>
          <w:lang w:val="en-GB"/>
        </w:rPr>
        <w:t>CGM – Corporate Governance Mechanisms</w:t>
      </w:r>
    </w:p>
    <w:p w:rsidR="003640BB" w:rsidRPr="00176589" w:rsidRDefault="003640BB" w:rsidP="00176589">
      <w:pPr>
        <w:pStyle w:val="BodyTextFirstIndent"/>
        <w:spacing w:after="0" w:line="240" w:lineRule="auto"/>
        <w:ind w:firstLine="0"/>
        <w:jc w:val="both"/>
        <w:rPr>
          <w:rFonts w:asciiTheme="majorBidi" w:hAnsiTheme="majorBidi" w:cstheme="majorBidi"/>
          <w:lang w:val="en-GB"/>
        </w:rPr>
      </w:pPr>
      <w:r w:rsidRPr="00176589">
        <w:rPr>
          <w:rFonts w:asciiTheme="majorBidi" w:hAnsiTheme="majorBidi" w:cstheme="majorBidi"/>
          <w:lang w:val="en-GB"/>
        </w:rPr>
        <w:t>SGM – Shari’ah Governance Mechanisms</w:t>
      </w:r>
    </w:p>
    <w:p w:rsidR="003640BB" w:rsidRPr="00176589" w:rsidRDefault="003640BB" w:rsidP="00176589">
      <w:pPr>
        <w:pStyle w:val="BodyTextFirstIndent"/>
        <w:spacing w:after="0" w:line="240" w:lineRule="auto"/>
        <w:ind w:firstLine="0"/>
        <w:jc w:val="both"/>
        <w:rPr>
          <w:rFonts w:asciiTheme="majorBidi" w:hAnsiTheme="majorBidi" w:cstheme="majorBidi"/>
          <w:lang w:val="en-GB"/>
        </w:rPr>
      </w:pPr>
      <w:r w:rsidRPr="00176589">
        <w:rPr>
          <w:rFonts w:asciiTheme="majorBidi" w:hAnsiTheme="majorBidi" w:cstheme="majorBidi"/>
          <w:lang w:val="en-GB"/>
        </w:rPr>
        <w:t>ROE – Return on Equity</w:t>
      </w:r>
    </w:p>
    <w:p w:rsidR="003640BB" w:rsidRPr="00176589" w:rsidRDefault="003640BB" w:rsidP="00176589">
      <w:pPr>
        <w:pStyle w:val="BodyTextFirstIndent"/>
        <w:spacing w:after="0" w:line="240" w:lineRule="auto"/>
        <w:ind w:firstLine="0"/>
        <w:jc w:val="both"/>
        <w:rPr>
          <w:rFonts w:asciiTheme="majorBidi" w:hAnsiTheme="majorBidi" w:cstheme="majorBidi"/>
          <w:lang w:val="en-GB"/>
        </w:rPr>
      </w:pPr>
      <w:r w:rsidRPr="00176589">
        <w:rPr>
          <w:rFonts w:asciiTheme="majorBidi" w:hAnsiTheme="majorBidi" w:cstheme="majorBidi"/>
          <w:lang w:val="en-GB"/>
        </w:rPr>
        <w:t>ROA – Return on Assets</w:t>
      </w:r>
    </w:p>
    <w:p w:rsidR="003640BB" w:rsidRPr="00176589" w:rsidRDefault="003640BB" w:rsidP="00176589">
      <w:pPr>
        <w:pStyle w:val="BodyTextFirstIndent"/>
        <w:spacing w:after="0" w:line="240" w:lineRule="auto"/>
        <w:ind w:firstLine="0"/>
        <w:jc w:val="both"/>
        <w:rPr>
          <w:rFonts w:asciiTheme="majorBidi" w:hAnsiTheme="majorBidi" w:cstheme="majorBidi"/>
          <w:lang w:val="en-GB"/>
        </w:rPr>
      </w:pPr>
      <w:r w:rsidRPr="00176589">
        <w:rPr>
          <w:rFonts w:asciiTheme="majorBidi" w:hAnsiTheme="majorBidi" w:cstheme="majorBidi"/>
          <w:noProof/>
          <w:lang w:val="en-GB"/>
        </w:rPr>
        <w:t>CTI</w:t>
      </w:r>
      <w:r w:rsidRPr="00176589">
        <w:rPr>
          <w:rFonts w:asciiTheme="majorBidi" w:hAnsiTheme="majorBidi" w:cstheme="majorBidi"/>
          <w:lang w:val="en-GB"/>
        </w:rPr>
        <w:t xml:space="preserve"> – Cost to Income</w:t>
      </w:r>
    </w:p>
    <w:p w:rsidR="003640BB" w:rsidRPr="00176589" w:rsidRDefault="003640BB" w:rsidP="00176589">
      <w:pPr>
        <w:pStyle w:val="BodyTextFirstIndent"/>
        <w:spacing w:after="0" w:line="240" w:lineRule="auto"/>
        <w:ind w:firstLine="0"/>
        <w:jc w:val="both"/>
        <w:rPr>
          <w:rFonts w:asciiTheme="majorBidi" w:hAnsiTheme="majorBidi" w:cstheme="majorBidi"/>
          <w:b/>
          <w:bCs/>
          <w:u w:val="single"/>
          <w:lang w:val="en-GB"/>
        </w:rPr>
      </w:pPr>
    </w:p>
    <w:p w:rsidR="003640BB" w:rsidRPr="00176589" w:rsidRDefault="003640BB" w:rsidP="00176589">
      <w:pPr>
        <w:pStyle w:val="BodyTextFirstIndent"/>
        <w:spacing w:after="0" w:line="240" w:lineRule="auto"/>
        <w:ind w:firstLine="0"/>
        <w:jc w:val="both"/>
        <w:rPr>
          <w:rFonts w:asciiTheme="majorBidi" w:hAnsiTheme="majorBidi" w:cstheme="majorBidi"/>
          <w:b/>
          <w:bCs/>
          <w:lang w:val="en-GB"/>
        </w:rPr>
      </w:pPr>
      <w:r w:rsidRPr="00176589">
        <w:rPr>
          <w:rFonts w:asciiTheme="majorBidi" w:hAnsiTheme="majorBidi" w:cstheme="majorBidi"/>
          <w:b/>
          <w:bCs/>
          <w:lang w:val="en-GB"/>
        </w:rPr>
        <w:t>Decision rule for R² (Hair et al., 2011 and Henseler et al., 2009):</w:t>
      </w:r>
    </w:p>
    <w:p w:rsidR="003640BB" w:rsidRPr="00176589" w:rsidRDefault="003640BB" w:rsidP="00176589">
      <w:pPr>
        <w:pStyle w:val="BodyTextFirstIndent"/>
        <w:spacing w:after="0" w:line="240" w:lineRule="auto"/>
        <w:ind w:firstLine="0"/>
        <w:jc w:val="both"/>
        <w:rPr>
          <w:rFonts w:asciiTheme="majorBidi" w:hAnsiTheme="majorBidi" w:cstheme="majorBidi"/>
          <w:lang w:val="en-GB"/>
        </w:rPr>
      </w:pPr>
      <w:r w:rsidRPr="00176589">
        <w:rPr>
          <w:rFonts w:asciiTheme="majorBidi" w:hAnsiTheme="majorBidi" w:cstheme="majorBidi"/>
          <w:lang w:val="en-GB"/>
        </w:rPr>
        <w:t>0.75 = Substantial</w:t>
      </w:r>
    </w:p>
    <w:p w:rsidR="003640BB" w:rsidRPr="00176589" w:rsidRDefault="003640BB" w:rsidP="00176589">
      <w:pPr>
        <w:pStyle w:val="BodyTextFirstIndent"/>
        <w:spacing w:after="0" w:line="240" w:lineRule="auto"/>
        <w:ind w:firstLine="0"/>
        <w:jc w:val="both"/>
        <w:rPr>
          <w:rFonts w:asciiTheme="majorBidi" w:hAnsiTheme="majorBidi" w:cstheme="majorBidi"/>
          <w:lang w:val="en-GB"/>
        </w:rPr>
      </w:pPr>
      <w:r w:rsidRPr="00176589">
        <w:rPr>
          <w:rFonts w:asciiTheme="majorBidi" w:hAnsiTheme="majorBidi" w:cstheme="majorBidi"/>
          <w:lang w:val="en-GB"/>
        </w:rPr>
        <w:t>0.50 = Moderate</w:t>
      </w:r>
    </w:p>
    <w:p w:rsidR="003640BB" w:rsidRDefault="003640BB" w:rsidP="00176589">
      <w:pPr>
        <w:pStyle w:val="BodyTextFirstIndent"/>
        <w:spacing w:after="0" w:line="240" w:lineRule="auto"/>
        <w:ind w:firstLine="0"/>
        <w:jc w:val="both"/>
        <w:rPr>
          <w:rFonts w:asciiTheme="majorBidi" w:hAnsiTheme="majorBidi" w:cstheme="majorBidi"/>
          <w:lang w:val="en-GB"/>
        </w:rPr>
      </w:pPr>
      <w:r w:rsidRPr="00176589">
        <w:rPr>
          <w:rFonts w:asciiTheme="majorBidi" w:hAnsiTheme="majorBidi" w:cstheme="majorBidi"/>
          <w:lang w:val="en-GB"/>
        </w:rPr>
        <w:t>0.25 = Weak</w:t>
      </w:r>
    </w:p>
    <w:p w:rsidR="00176589" w:rsidRPr="00176589" w:rsidRDefault="00176589" w:rsidP="00176589">
      <w:pPr>
        <w:pStyle w:val="BodyTextFirstIndent"/>
        <w:spacing w:after="0" w:line="240" w:lineRule="auto"/>
        <w:ind w:firstLine="0"/>
        <w:jc w:val="both"/>
        <w:rPr>
          <w:rFonts w:asciiTheme="majorBidi" w:hAnsiTheme="majorBidi" w:cstheme="majorBidi"/>
          <w:lang w:val="en-GB"/>
        </w:rPr>
      </w:pPr>
    </w:p>
    <w:p w:rsidR="003640BB" w:rsidRPr="006E388F" w:rsidRDefault="003640BB" w:rsidP="001A1EDF">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The R² </w:t>
      </w:r>
      <w:r w:rsidRPr="006E388F">
        <w:rPr>
          <w:rFonts w:asciiTheme="majorBidi" w:hAnsiTheme="majorBidi" w:cstheme="majorBidi"/>
          <w:noProof/>
          <w:sz w:val="24"/>
          <w:szCs w:val="24"/>
          <w:lang w:val="en-GB"/>
        </w:rPr>
        <w:t>values,</w:t>
      </w:r>
      <w:r w:rsidR="00B53509">
        <w:rPr>
          <w:rFonts w:asciiTheme="majorBidi" w:hAnsiTheme="majorBidi" w:cstheme="majorBidi"/>
          <w:sz w:val="24"/>
          <w:szCs w:val="24"/>
          <w:lang w:val="en-GB"/>
        </w:rPr>
        <w:t xml:space="preserve"> as shown in Table 5</w:t>
      </w:r>
      <w:r w:rsidR="00176589">
        <w:rPr>
          <w:rFonts w:asciiTheme="majorBidi" w:hAnsiTheme="majorBidi" w:cstheme="majorBidi"/>
          <w:sz w:val="24"/>
          <w:szCs w:val="24"/>
          <w:lang w:val="en-GB"/>
        </w:rPr>
        <w:t xml:space="preserve"> of </w:t>
      </w:r>
      <w:r w:rsidRPr="006E388F">
        <w:rPr>
          <w:rFonts w:asciiTheme="majorBidi" w:hAnsiTheme="majorBidi" w:cstheme="majorBidi"/>
          <w:sz w:val="24"/>
          <w:szCs w:val="24"/>
          <w:lang w:val="en-GB"/>
        </w:rPr>
        <w:t xml:space="preserve">ROE, ROA and </w:t>
      </w:r>
      <w:r w:rsidRPr="006E388F">
        <w:rPr>
          <w:rFonts w:asciiTheme="majorBidi" w:hAnsiTheme="majorBidi" w:cstheme="majorBidi"/>
          <w:noProof/>
          <w:sz w:val="24"/>
          <w:szCs w:val="24"/>
          <w:lang w:val="en-GB"/>
        </w:rPr>
        <w:t>CTI</w:t>
      </w:r>
      <w:r w:rsidRPr="006E388F">
        <w:rPr>
          <w:rFonts w:asciiTheme="majorBidi" w:hAnsiTheme="majorBidi" w:cstheme="majorBidi"/>
          <w:sz w:val="24"/>
          <w:szCs w:val="24"/>
          <w:lang w:val="en-GB"/>
        </w:rPr>
        <w:t xml:space="preserve"> were rather weak predictors (0.488, 0.313 and 0.439, respectively).  ROE ach</w:t>
      </w:r>
      <w:r w:rsidR="006B7BE8">
        <w:rPr>
          <w:rFonts w:asciiTheme="majorBidi" w:hAnsiTheme="majorBidi" w:cstheme="majorBidi"/>
          <w:sz w:val="24"/>
          <w:szCs w:val="24"/>
          <w:lang w:val="en-GB"/>
        </w:rPr>
        <w:t>ieved the</w:t>
      </w:r>
      <w:r w:rsidRPr="006E388F">
        <w:rPr>
          <w:rFonts w:asciiTheme="majorBidi" w:hAnsiTheme="majorBidi" w:cstheme="majorBidi"/>
          <w:sz w:val="24"/>
          <w:szCs w:val="24"/>
          <w:lang w:val="en-GB"/>
        </w:rPr>
        <w:t xml:space="preserve"> R² of </w:t>
      </w:r>
      <w:r w:rsidR="001A1EDF">
        <w:rPr>
          <w:rFonts w:asciiTheme="majorBidi" w:hAnsiTheme="majorBidi" w:cstheme="majorBidi"/>
          <w:sz w:val="24"/>
          <w:szCs w:val="24"/>
          <w:lang w:val="en-GB"/>
        </w:rPr>
        <w:t>0.488 or 48.8%.  This variance wa</w:t>
      </w:r>
      <w:r w:rsidRPr="006E388F">
        <w:rPr>
          <w:rFonts w:asciiTheme="majorBidi" w:hAnsiTheme="majorBidi" w:cstheme="majorBidi"/>
          <w:sz w:val="24"/>
          <w:szCs w:val="24"/>
          <w:lang w:val="en-GB"/>
        </w:rPr>
        <w:t>s quite a</w:t>
      </w:r>
      <w:r w:rsidR="001A1EDF">
        <w:rPr>
          <w:rFonts w:asciiTheme="majorBidi" w:hAnsiTheme="majorBidi" w:cstheme="majorBidi"/>
          <w:sz w:val="24"/>
          <w:szCs w:val="24"/>
          <w:lang w:val="en-GB"/>
        </w:rPr>
        <w:t xml:space="preserve"> weak predictor even though it wa</w:t>
      </w:r>
      <w:r w:rsidRPr="006E388F">
        <w:rPr>
          <w:rFonts w:asciiTheme="majorBidi" w:hAnsiTheme="majorBidi" w:cstheme="majorBidi"/>
          <w:sz w:val="24"/>
          <w:szCs w:val="24"/>
          <w:lang w:val="en-GB"/>
        </w:rPr>
        <w:t>s nearly 50% as near to the moderate predictor as categorised by Hair et al. (2011).  ROA achieved 0.313 or 31.3</w:t>
      </w:r>
      <w:r w:rsidRPr="006E388F">
        <w:rPr>
          <w:rFonts w:asciiTheme="majorBidi" w:hAnsiTheme="majorBidi" w:cstheme="majorBidi"/>
          <w:noProof/>
          <w:sz w:val="24"/>
          <w:szCs w:val="24"/>
          <w:lang w:val="en-GB"/>
        </w:rPr>
        <w:t>%; the</w:t>
      </w:r>
      <w:r w:rsidRPr="006E388F">
        <w:rPr>
          <w:rFonts w:asciiTheme="majorBidi" w:hAnsiTheme="majorBidi" w:cstheme="majorBidi"/>
          <w:sz w:val="24"/>
          <w:szCs w:val="24"/>
          <w:lang w:val="en-GB"/>
        </w:rPr>
        <w:t xml:space="preserve"> value also suggests </w:t>
      </w:r>
      <w:r w:rsidR="001A1EDF">
        <w:rPr>
          <w:rFonts w:asciiTheme="majorBidi" w:hAnsiTheme="majorBidi" w:cstheme="majorBidi"/>
          <w:sz w:val="24"/>
          <w:szCs w:val="24"/>
          <w:lang w:val="en-GB"/>
        </w:rPr>
        <w:t xml:space="preserve">a </w:t>
      </w:r>
      <w:r w:rsidRPr="006E388F">
        <w:rPr>
          <w:rFonts w:asciiTheme="majorBidi" w:hAnsiTheme="majorBidi" w:cstheme="majorBidi"/>
          <w:sz w:val="24"/>
          <w:szCs w:val="24"/>
          <w:lang w:val="en-GB"/>
        </w:rPr>
        <w:t xml:space="preserve">weak variance in the ROA as financial performance measures.  </w:t>
      </w:r>
      <w:r w:rsidRPr="006E388F">
        <w:rPr>
          <w:rFonts w:asciiTheme="majorBidi" w:hAnsiTheme="majorBidi" w:cstheme="majorBidi"/>
          <w:noProof/>
          <w:sz w:val="24"/>
          <w:szCs w:val="24"/>
          <w:lang w:val="en-GB"/>
        </w:rPr>
        <w:t>CTI</w:t>
      </w:r>
      <w:r w:rsidRPr="006E388F">
        <w:rPr>
          <w:rFonts w:asciiTheme="majorBidi" w:hAnsiTheme="majorBidi" w:cstheme="majorBidi"/>
          <w:sz w:val="24"/>
          <w:szCs w:val="24"/>
          <w:lang w:val="en-GB"/>
        </w:rPr>
        <w:t xml:space="preserve"> also achieved a weak variance of 0.439 or 43.9%.</w:t>
      </w:r>
    </w:p>
    <w:p w:rsidR="00263A01" w:rsidRPr="006E388F" w:rsidRDefault="001A1EDF" w:rsidP="001A1EDF">
      <w:pPr>
        <w:spacing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Thus</w:t>
      </w:r>
      <w:r w:rsidR="003640BB" w:rsidRPr="006E388F">
        <w:rPr>
          <w:rFonts w:asciiTheme="majorBidi" w:hAnsiTheme="majorBidi" w:cstheme="majorBidi"/>
          <w:sz w:val="24"/>
          <w:szCs w:val="24"/>
          <w:lang w:val="en-GB"/>
        </w:rPr>
        <w:t xml:space="preserve">, ROE (R² = 0.488) had a reasonable </w:t>
      </w:r>
      <w:r>
        <w:rPr>
          <w:rFonts w:asciiTheme="majorBidi" w:hAnsiTheme="majorBidi" w:cstheme="majorBidi"/>
          <w:sz w:val="24"/>
          <w:szCs w:val="24"/>
          <w:lang w:val="en-GB"/>
        </w:rPr>
        <w:t xml:space="preserve">moderate </w:t>
      </w:r>
      <w:r w:rsidR="003640BB" w:rsidRPr="006E388F">
        <w:rPr>
          <w:rFonts w:asciiTheme="majorBidi" w:hAnsiTheme="majorBidi" w:cstheme="majorBidi"/>
          <w:sz w:val="24"/>
          <w:szCs w:val="24"/>
          <w:lang w:val="en-GB"/>
        </w:rPr>
        <w:t xml:space="preserve">predictive model in the structural model path relationships, followed by </w:t>
      </w:r>
      <w:r w:rsidR="003640BB" w:rsidRPr="006E388F">
        <w:rPr>
          <w:rFonts w:asciiTheme="majorBidi" w:hAnsiTheme="majorBidi" w:cstheme="majorBidi"/>
          <w:noProof/>
          <w:sz w:val="24"/>
          <w:szCs w:val="24"/>
          <w:lang w:val="en-GB"/>
        </w:rPr>
        <w:t>CTI</w:t>
      </w:r>
      <w:r w:rsidR="003640BB" w:rsidRPr="006E388F">
        <w:rPr>
          <w:rFonts w:asciiTheme="majorBidi" w:hAnsiTheme="majorBidi" w:cstheme="majorBidi"/>
          <w:sz w:val="24"/>
          <w:szCs w:val="24"/>
          <w:lang w:val="en-GB"/>
        </w:rPr>
        <w:t xml:space="preserve"> (R² = 0.439) and the weakest predictive structural model path relationship, ROA (R² = 0.313).  </w:t>
      </w:r>
    </w:p>
    <w:p w:rsidR="00263A01" w:rsidRDefault="00263A01" w:rsidP="00556A6F">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The path coefficients, which have been defined by Falk &amp; Miller (1992), as quoted in Berghman (2006), can be interpreted as the standardized beta coefficients that measure the strength of a relationship between a dependent variable and an independent variable, while holding constant the effects of all other independent variables (Allision, 1999 in Berghman, 2006).  The path coefficients measure the strength of a relationship between a dependent variable and an independent variable.  </w:t>
      </w:r>
    </w:p>
    <w:p w:rsidR="00556A6F" w:rsidRPr="006E388F" w:rsidRDefault="00556A6F" w:rsidP="00556A6F">
      <w:pPr>
        <w:pStyle w:val="BodyTextFirstIndent"/>
        <w:spacing w:line="240" w:lineRule="auto"/>
        <w:ind w:firstLine="720"/>
        <w:jc w:val="both"/>
        <w:rPr>
          <w:rFonts w:asciiTheme="majorBidi" w:hAnsiTheme="majorBidi" w:cstheme="majorBidi"/>
          <w:sz w:val="24"/>
          <w:szCs w:val="24"/>
          <w:lang w:val="en-GB"/>
        </w:rPr>
      </w:pPr>
    </w:p>
    <w:p w:rsidR="00263A01" w:rsidRPr="006E388F" w:rsidRDefault="00263A01" w:rsidP="006E388F">
      <w:pPr>
        <w:pStyle w:val="Caption"/>
        <w:rPr>
          <w:rFonts w:asciiTheme="majorBidi" w:hAnsiTheme="majorBidi" w:cstheme="majorBidi"/>
          <w:b w:val="0"/>
          <w:bCs w:val="0"/>
          <w:szCs w:val="24"/>
          <w:lang w:val="en-GB"/>
        </w:rPr>
      </w:pPr>
      <w:bookmarkStart w:id="10" w:name="_Toc490042477"/>
      <w:r w:rsidRPr="006E388F">
        <w:rPr>
          <w:rFonts w:asciiTheme="majorBidi" w:hAnsiTheme="majorBidi" w:cstheme="majorBidi"/>
          <w:b w:val="0"/>
          <w:bCs w:val="0"/>
          <w:szCs w:val="24"/>
          <w:lang w:val="en-GB"/>
        </w:rPr>
        <w:t>Table</w:t>
      </w:r>
      <w:r w:rsidR="00130B86">
        <w:rPr>
          <w:rFonts w:asciiTheme="majorBidi" w:hAnsiTheme="majorBidi" w:cstheme="majorBidi"/>
          <w:b w:val="0"/>
          <w:bCs w:val="0"/>
          <w:szCs w:val="24"/>
          <w:lang w:val="en-GB"/>
        </w:rPr>
        <w:t xml:space="preserve"> 6</w:t>
      </w:r>
      <w:r w:rsidR="002466B3" w:rsidRPr="006E388F">
        <w:rPr>
          <w:rFonts w:asciiTheme="majorBidi" w:hAnsiTheme="majorBidi" w:cstheme="majorBidi"/>
          <w:b w:val="0"/>
          <w:bCs w:val="0"/>
          <w:szCs w:val="24"/>
          <w:lang w:val="en-GB"/>
        </w:rPr>
        <w:t xml:space="preserve"> </w:t>
      </w:r>
      <w:r w:rsidRPr="006E388F">
        <w:rPr>
          <w:rFonts w:asciiTheme="majorBidi" w:hAnsiTheme="majorBidi" w:cstheme="majorBidi"/>
          <w:b w:val="0"/>
          <w:bCs w:val="0"/>
          <w:szCs w:val="24"/>
          <w:lang w:val="en-GB"/>
        </w:rPr>
        <w:t>Path Coefficients and Hypothesis Testing</w:t>
      </w:r>
      <w:bookmarkEnd w:id="10"/>
    </w:p>
    <w:tbl>
      <w:tblPr>
        <w:tblW w:w="8315" w:type="dxa"/>
        <w:jc w:val="center"/>
        <w:tblBorders>
          <w:top w:val="single" w:sz="8" w:space="0" w:color="000000"/>
          <w:bottom w:val="single" w:sz="8" w:space="0" w:color="000000"/>
        </w:tblBorders>
        <w:shd w:val="clear" w:color="auto" w:fill="EEECE1"/>
        <w:tblLayout w:type="fixed"/>
        <w:tblLook w:val="04A0" w:firstRow="1" w:lastRow="0" w:firstColumn="1" w:lastColumn="0" w:noHBand="0" w:noVBand="1"/>
      </w:tblPr>
      <w:tblGrid>
        <w:gridCol w:w="842"/>
        <w:gridCol w:w="1701"/>
        <w:gridCol w:w="1276"/>
        <w:gridCol w:w="850"/>
        <w:gridCol w:w="1134"/>
        <w:gridCol w:w="1276"/>
        <w:gridCol w:w="1236"/>
      </w:tblGrid>
      <w:tr w:rsidR="00263A01" w:rsidRPr="00CB5853" w:rsidTr="00DD44AD">
        <w:trPr>
          <w:jc w:val="center"/>
        </w:trPr>
        <w:tc>
          <w:tcPr>
            <w:tcW w:w="842" w:type="dxa"/>
            <w:tcBorders>
              <w:top w:val="single" w:sz="8" w:space="0" w:color="000000"/>
              <w:left w:val="nil"/>
              <w:bottom w:val="single" w:sz="8" w:space="0" w:color="000000"/>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Hypo-</w:t>
            </w:r>
          </w:p>
          <w:p w:rsidR="00263A01" w:rsidRPr="00CB5853" w:rsidRDefault="00263A01"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Thesis</w:t>
            </w:r>
          </w:p>
        </w:tc>
        <w:tc>
          <w:tcPr>
            <w:tcW w:w="1701" w:type="dxa"/>
            <w:tcBorders>
              <w:top w:val="single" w:sz="8" w:space="0" w:color="000000"/>
              <w:left w:val="nil"/>
              <w:bottom w:val="single" w:sz="8" w:space="0" w:color="000000"/>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Relationship</w:t>
            </w:r>
          </w:p>
        </w:tc>
        <w:tc>
          <w:tcPr>
            <w:tcW w:w="1276" w:type="dxa"/>
            <w:tcBorders>
              <w:top w:val="single" w:sz="8" w:space="0" w:color="000000"/>
              <w:left w:val="nil"/>
              <w:bottom w:val="single" w:sz="8" w:space="0" w:color="000000"/>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Path Coefficient</w:t>
            </w:r>
          </w:p>
        </w:tc>
        <w:tc>
          <w:tcPr>
            <w:tcW w:w="850" w:type="dxa"/>
            <w:tcBorders>
              <w:top w:val="single" w:sz="8" w:space="0" w:color="000000"/>
              <w:left w:val="nil"/>
              <w:bottom w:val="single" w:sz="8" w:space="0" w:color="000000"/>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t-value</w:t>
            </w:r>
          </w:p>
        </w:tc>
        <w:tc>
          <w:tcPr>
            <w:tcW w:w="1134" w:type="dxa"/>
            <w:tcBorders>
              <w:top w:val="single" w:sz="8" w:space="0" w:color="000000"/>
              <w:left w:val="nil"/>
              <w:bottom w:val="single" w:sz="8" w:space="0" w:color="000000"/>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p-value</w:t>
            </w:r>
          </w:p>
        </w:tc>
        <w:tc>
          <w:tcPr>
            <w:tcW w:w="1276" w:type="dxa"/>
            <w:tcBorders>
              <w:top w:val="single" w:sz="8" w:space="0" w:color="000000"/>
              <w:left w:val="nil"/>
              <w:bottom w:val="single" w:sz="8" w:space="0" w:color="000000"/>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Significance Levels</w:t>
            </w:r>
          </w:p>
        </w:tc>
        <w:tc>
          <w:tcPr>
            <w:tcW w:w="1236" w:type="dxa"/>
            <w:tcBorders>
              <w:top w:val="single" w:sz="8" w:space="0" w:color="000000"/>
              <w:left w:val="nil"/>
              <w:bottom w:val="single" w:sz="8" w:space="0" w:color="000000"/>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Significant</w:t>
            </w:r>
          </w:p>
        </w:tc>
      </w:tr>
      <w:tr w:rsidR="00263A01" w:rsidRPr="00CB5853" w:rsidTr="00DD44AD">
        <w:trPr>
          <w:jc w:val="center"/>
        </w:trPr>
        <w:tc>
          <w:tcPr>
            <w:tcW w:w="842" w:type="dxa"/>
            <w:shd w:val="clear" w:color="auto" w:fill="EEECE1"/>
          </w:tcPr>
          <w:p w:rsidR="00263A01" w:rsidRPr="00CB5853" w:rsidRDefault="002466B3"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H1</w:t>
            </w:r>
          </w:p>
        </w:tc>
        <w:tc>
          <w:tcPr>
            <w:tcW w:w="6237" w:type="dxa"/>
            <w:gridSpan w:val="5"/>
            <w:shd w:val="clear" w:color="auto" w:fill="EEECE1"/>
          </w:tcPr>
          <w:p w:rsidR="00263A01" w:rsidRPr="00CB5853" w:rsidRDefault="00263A01" w:rsidP="00CB5853">
            <w:pPr>
              <w:pStyle w:val="BodyTextFirstIndent"/>
              <w:spacing w:line="240" w:lineRule="auto"/>
              <w:ind w:firstLine="0"/>
              <w:rPr>
                <w:rFonts w:asciiTheme="majorBidi" w:hAnsiTheme="majorBidi" w:cstheme="majorBidi"/>
                <w:color w:val="000000"/>
                <w:lang w:val="en-GB"/>
              </w:rPr>
            </w:pPr>
            <w:r w:rsidRPr="00CB5853">
              <w:rPr>
                <w:rFonts w:asciiTheme="majorBidi" w:hAnsiTheme="majorBidi" w:cstheme="majorBidi"/>
                <w:color w:val="000000"/>
                <w:lang w:val="en-GB"/>
              </w:rPr>
              <w:t xml:space="preserve">Corporate governance </w:t>
            </w:r>
            <w:r w:rsidR="00C06B69" w:rsidRPr="00C06B69">
              <w:rPr>
                <w:rFonts w:asciiTheme="majorBidi" w:hAnsiTheme="majorBidi" w:cstheme="majorBidi"/>
                <w:lang w:val="en-GB"/>
              </w:rPr>
              <w:t xml:space="preserve">mechanism </w:t>
            </w:r>
            <w:r w:rsidR="00C06B69">
              <w:rPr>
                <w:rFonts w:asciiTheme="majorBidi" w:hAnsiTheme="majorBidi" w:cstheme="majorBidi"/>
                <w:lang w:val="en-GB"/>
              </w:rPr>
              <w:t>(</w:t>
            </w:r>
            <w:r w:rsidR="00C06B69" w:rsidRPr="00EF0510">
              <w:rPr>
                <w:rFonts w:asciiTheme="majorBidi" w:hAnsiTheme="majorBidi" w:cstheme="majorBidi"/>
                <w:lang w:val="en-GB"/>
              </w:rPr>
              <w:t xml:space="preserve">CGM) has a positive effect on </w:t>
            </w:r>
            <w:r w:rsidRPr="00EF0510">
              <w:rPr>
                <w:rFonts w:asciiTheme="majorBidi" w:hAnsiTheme="majorBidi" w:cstheme="majorBidi"/>
                <w:lang w:val="en-GB"/>
              </w:rPr>
              <w:t>the financial performance of Islamic banks.</w:t>
            </w:r>
          </w:p>
        </w:tc>
        <w:tc>
          <w:tcPr>
            <w:tcW w:w="123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p>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Yes</w:t>
            </w:r>
          </w:p>
        </w:tc>
      </w:tr>
      <w:tr w:rsidR="00263A01" w:rsidRPr="00CB5853" w:rsidTr="00DD44AD">
        <w:trPr>
          <w:jc w:val="center"/>
        </w:trPr>
        <w:tc>
          <w:tcPr>
            <w:tcW w:w="842" w:type="dxa"/>
            <w:shd w:val="clear" w:color="auto" w:fill="EEECE1"/>
          </w:tcPr>
          <w:p w:rsidR="00263A01" w:rsidRPr="00CB5853" w:rsidRDefault="002466B3"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H1</w:t>
            </w:r>
            <w:r w:rsidR="00263A01" w:rsidRPr="00CB5853">
              <w:rPr>
                <w:rFonts w:asciiTheme="majorBidi" w:hAnsiTheme="majorBidi" w:cstheme="majorBidi"/>
                <w:b/>
                <w:bCs/>
                <w:color w:val="000000"/>
                <w:lang w:val="en-GB"/>
              </w:rPr>
              <w:t>a</w:t>
            </w:r>
          </w:p>
        </w:tc>
        <w:tc>
          <w:tcPr>
            <w:tcW w:w="1701"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 xml:space="preserve">CGM </w:t>
            </w:r>
            <w:r w:rsidRPr="00CB5853">
              <w:rPr>
                <w:rFonts w:asciiTheme="majorBidi" w:hAnsiTheme="majorBidi" w:cstheme="majorBidi"/>
                <w:color w:val="000000"/>
                <w:lang w:val="en-GB"/>
              </w:rPr>
              <w:sym w:font="Wingdings" w:char="F0E0"/>
            </w:r>
            <w:r w:rsidRPr="00CB5853">
              <w:rPr>
                <w:rFonts w:asciiTheme="majorBidi" w:hAnsiTheme="majorBidi" w:cstheme="majorBidi"/>
                <w:color w:val="000000"/>
                <w:lang w:val="en-GB"/>
              </w:rPr>
              <w:t xml:space="preserve"> ROE</w:t>
            </w: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0.556</w:t>
            </w:r>
          </w:p>
        </w:tc>
        <w:tc>
          <w:tcPr>
            <w:tcW w:w="850"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2.582</w:t>
            </w:r>
          </w:p>
        </w:tc>
        <w:tc>
          <w:tcPr>
            <w:tcW w:w="1134" w:type="dxa"/>
            <w:shd w:val="clear" w:color="auto" w:fill="EEECE1"/>
          </w:tcPr>
          <w:p w:rsidR="00263A01" w:rsidRPr="00CB5853" w:rsidRDefault="00263A01" w:rsidP="00CB5853">
            <w:pPr>
              <w:pStyle w:val="BodyTextFirstIndent"/>
              <w:spacing w:line="240" w:lineRule="auto"/>
              <w:ind w:firstLine="0"/>
              <w:rPr>
                <w:rFonts w:asciiTheme="majorBidi" w:hAnsiTheme="majorBidi" w:cstheme="majorBidi"/>
                <w:color w:val="000000"/>
                <w:lang w:val="en-GB"/>
              </w:rPr>
            </w:pPr>
            <w:r w:rsidRPr="00CB5853">
              <w:rPr>
                <w:rFonts w:asciiTheme="majorBidi" w:hAnsiTheme="majorBidi" w:cstheme="majorBidi"/>
                <w:color w:val="000000"/>
                <w:lang w:val="en-GB"/>
              </w:rPr>
              <w:t>0.011***</w:t>
            </w: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S</w:t>
            </w:r>
          </w:p>
        </w:tc>
        <w:tc>
          <w:tcPr>
            <w:tcW w:w="123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Yes</w:t>
            </w:r>
          </w:p>
        </w:tc>
      </w:tr>
      <w:tr w:rsidR="00263A01" w:rsidRPr="00CB5853" w:rsidTr="00DD44AD">
        <w:trPr>
          <w:jc w:val="center"/>
        </w:trPr>
        <w:tc>
          <w:tcPr>
            <w:tcW w:w="842" w:type="dxa"/>
            <w:tcBorders>
              <w:left w:val="nil"/>
              <w:right w:val="nil"/>
            </w:tcBorders>
            <w:shd w:val="clear" w:color="auto" w:fill="EEECE1"/>
          </w:tcPr>
          <w:p w:rsidR="00263A01" w:rsidRPr="00CB5853" w:rsidRDefault="002466B3"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H1</w:t>
            </w:r>
            <w:r w:rsidR="00263A01" w:rsidRPr="00CB5853">
              <w:rPr>
                <w:rFonts w:asciiTheme="majorBidi" w:hAnsiTheme="majorBidi" w:cstheme="majorBidi"/>
                <w:b/>
                <w:bCs/>
                <w:color w:val="000000"/>
                <w:lang w:val="en-GB"/>
              </w:rPr>
              <w:t>b</w:t>
            </w:r>
          </w:p>
        </w:tc>
        <w:tc>
          <w:tcPr>
            <w:tcW w:w="1701"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 xml:space="preserve">CGM </w:t>
            </w:r>
            <w:r w:rsidRPr="00CB5853">
              <w:rPr>
                <w:rFonts w:asciiTheme="majorBidi" w:hAnsiTheme="majorBidi" w:cstheme="majorBidi"/>
                <w:color w:val="000000"/>
                <w:lang w:val="en-GB"/>
              </w:rPr>
              <w:sym w:font="Wingdings" w:char="F0E0"/>
            </w:r>
            <w:r w:rsidRPr="00CB5853">
              <w:rPr>
                <w:rFonts w:asciiTheme="majorBidi" w:hAnsiTheme="majorBidi" w:cstheme="majorBidi"/>
                <w:color w:val="000000"/>
                <w:lang w:val="en-GB"/>
              </w:rPr>
              <w:t xml:space="preserve"> ROA</w:t>
            </w:r>
          </w:p>
        </w:tc>
        <w:tc>
          <w:tcPr>
            <w:tcW w:w="1276"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0.463</w:t>
            </w:r>
          </w:p>
        </w:tc>
        <w:tc>
          <w:tcPr>
            <w:tcW w:w="850"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1.940</w:t>
            </w:r>
          </w:p>
        </w:tc>
        <w:tc>
          <w:tcPr>
            <w:tcW w:w="1134" w:type="dxa"/>
            <w:tcBorders>
              <w:left w:val="nil"/>
              <w:right w:val="nil"/>
            </w:tcBorders>
            <w:shd w:val="clear" w:color="auto" w:fill="EEECE1"/>
          </w:tcPr>
          <w:p w:rsidR="00263A01" w:rsidRPr="00CB5853" w:rsidRDefault="00263A01" w:rsidP="00CB5853">
            <w:pPr>
              <w:pStyle w:val="BodyTextFirstIndent"/>
              <w:spacing w:line="240" w:lineRule="auto"/>
              <w:ind w:firstLine="0"/>
              <w:rPr>
                <w:rFonts w:asciiTheme="majorBidi" w:hAnsiTheme="majorBidi" w:cstheme="majorBidi"/>
                <w:color w:val="000000"/>
                <w:lang w:val="en-GB"/>
              </w:rPr>
            </w:pPr>
            <w:r w:rsidRPr="00CB5853">
              <w:rPr>
                <w:rFonts w:asciiTheme="majorBidi" w:hAnsiTheme="majorBidi" w:cstheme="majorBidi"/>
                <w:color w:val="000000"/>
                <w:lang w:val="en-GB"/>
              </w:rPr>
              <w:t>0.054*</w:t>
            </w:r>
          </w:p>
        </w:tc>
        <w:tc>
          <w:tcPr>
            <w:tcW w:w="1276"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S</w:t>
            </w:r>
          </w:p>
        </w:tc>
        <w:tc>
          <w:tcPr>
            <w:tcW w:w="1236"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Yes</w:t>
            </w:r>
          </w:p>
        </w:tc>
      </w:tr>
      <w:tr w:rsidR="00263A01" w:rsidRPr="00CB5853" w:rsidTr="00DD44AD">
        <w:trPr>
          <w:jc w:val="center"/>
        </w:trPr>
        <w:tc>
          <w:tcPr>
            <w:tcW w:w="842" w:type="dxa"/>
            <w:shd w:val="clear" w:color="auto" w:fill="EEECE1"/>
          </w:tcPr>
          <w:p w:rsidR="00263A01" w:rsidRPr="00CB5853" w:rsidRDefault="002466B3"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H1</w:t>
            </w:r>
            <w:r w:rsidR="00263A01" w:rsidRPr="00CB5853">
              <w:rPr>
                <w:rFonts w:asciiTheme="majorBidi" w:hAnsiTheme="majorBidi" w:cstheme="majorBidi"/>
                <w:b/>
                <w:bCs/>
                <w:color w:val="000000"/>
                <w:lang w:val="en-GB"/>
              </w:rPr>
              <w:t>c</w:t>
            </w:r>
          </w:p>
        </w:tc>
        <w:tc>
          <w:tcPr>
            <w:tcW w:w="1701"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 xml:space="preserve">CGM </w:t>
            </w:r>
            <w:r w:rsidRPr="00CB5853">
              <w:rPr>
                <w:rFonts w:asciiTheme="majorBidi" w:hAnsiTheme="majorBidi" w:cstheme="majorBidi"/>
                <w:color w:val="000000"/>
                <w:lang w:val="en-GB"/>
              </w:rPr>
              <w:sym w:font="Wingdings" w:char="F0E0"/>
            </w:r>
            <w:r w:rsidRPr="00CB5853">
              <w:rPr>
                <w:rFonts w:asciiTheme="majorBidi" w:hAnsiTheme="majorBidi" w:cstheme="majorBidi"/>
                <w:color w:val="000000"/>
                <w:lang w:val="en-GB"/>
              </w:rPr>
              <w:t xml:space="preserve"> CTI</w:t>
            </w: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-0.641</w:t>
            </w:r>
          </w:p>
        </w:tc>
        <w:tc>
          <w:tcPr>
            <w:tcW w:w="850"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2.536</w:t>
            </w:r>
          </w:p>
        </w:tc>
        <w:tc>
          <w:tcPr>
            <w:tcW w:w="1134" w:type="dxa"/>
            <w:shd w:val="clear" w:color="auto" w:fill="EEECE1"/>
          </w:tcPr>
          <w:p w:rsidR="00263A01" w:rsidRPr="00CB5853" w:rsidRDefault="00263A01" w:rsidP="00CB5853">
            <w:pPr>
              <w:pStyle w:val="BodyTextFirstIndent"/>
              <w:spacing w:line="240" w:lineRule="auto"/>
              <w:ind w:firstLine="0"/>
              <w:rPr>
                <w:rFonts w:asciiTheme="majorBidi" w:hAnsiTheme="majorBidi" w:cstheme="majorBidi"/>
                <w:color w:val="000000"/>
                <w:lang w:val="en-GB"/>
              </w:rPr>
            </w:pPr>
            <w:r w:rsidRPr="00CB5853">
              <w:rPr>
                <w:rFonts w:asciiTheme="majorBidi" w:hAnsiTheme="majorBidi" w:cstheme="majorBidi"/>
                <w:color w:val="000000"/>
                <w:lang w:val="en-GB"/>
              </w:rPr>
              <w:t>0.012**</w:t>
            </w: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S</w:t>
            </w:r>
          </w:p>
        </w:tc>
        <w:tc>
          <w:tcPr>
            <w:tcW w:w="123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Yes</w:t>
            </w:r>
          </w:p>
        </w:tc>
      </w:tr>
      <w:tr w:rsidR="00263A01" w:rsidRPr="00CB5853" w:rsidTr="00DD44AD">
        <w:trPr>
          <w:jc w:val="center"/>
        </w:trPr>
        <w:tc>
          <w:tcPr>
            <w:tcW w:w="842"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b/>
                <w:bCs/>
                <w:color w:val="000000"/>
                <w:lang w:val="en-GB"/>
              </w:rPr>
            </w:pPr>
          </w:p>
        </w:tc>
        <w:tc>
          <w:tcPr>
            <w:tcW w:w="1701"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p>
        </w:tc>
        <w:tc>
          <w:tcPr>
            <w:tcW w:w="850"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p>
        </w:tc>
        <w:tc>
          <w:tcPr>
            <w:tcW w:w="1134" w:type="dxa"/>
            <w:shd w:val="clear" w:color="auto" w:fill="EEECE1"/>
          </w:tcPr>
          <w:p w:rsidR="00263A01" w:rsidRPr="00CB5853" w:rsidRDefault="00263A01" w:rsidP="00CB5853">
            <w:pPr>
              <w:pStyle w:val="BodyTextFirstIndent"/>
              <w:spacing w:line="240" w:lineRule="auto"/>
              <w:ind w:firstLine="0"/>
              <w:rPr>
                <w:rFonts w:asciiTheme="majorBidi" w:hAnsiTheme="majorBidi" w:cstheme="majorBidi"/>
                <w:color w:val="000000"/>
                <w:lang w:val="en-GB"/>
              </w:rPr>
            </w:pP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p>
        </w:tc>
        <w:tc>
          <w:tcPr>
            <w:tcW w:w="123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p>
        </w:tc>
      </w:tr>
      <w:tr w:rsidR="00263A01" w:rsidRPr="00CB5853" w:rsidTr="00DD44AD">
        <w:trPr>
          <w:jc w:val="center"/>
        </w:trPr>
        <w:tc>
          <w:tcPr>
            <w:tcW w:w="842" w:type="dxa"/>
            <w:shd w:val="clear" w:color="auto" w:fill="EEECE1"/>
          </w:tcPr>
          <w:p w:rsidR="00263A01" w:rsidRPr="00CB5853" w:rsidRDefault="002466B3"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H2</w:t>
            </w:r>
          </w:p>
        </w:tc>
        <w:tc>
          <w:tcPr>
            <w:tcW w:w="6237" w:type="dxa"/>
            <w:gridSpan w:val="5"/>
            <w:shd w:val="clear" w:color="auto" w:fill="EEECE1"/>
          </w:tcPr>
          <w:p w:rsidR="00263A01" w:rsidRPr="00CB5853" w:rsidRDefault="00263A01" w:rsidP="00CB5853">
            <w:pPr>
              <w:pStyle w:val="BodyTextFirstIndent"/>
              <w:spacing w:line="240" w:lineRule="auto"/>
              <w:ind w:firstLine="0"/>
              <w:rPr>
                <w:rFonts w:asciiTheme="majorBidi" w:hAnsiTheme="majorBidi" w:cstheme="majorBidi"/>
                <w:color w:val="000000"/>
                <w:lang w:val="en-GB"/>
              </w:rPr>
            </w:pPr>
            <w:r w:rsidRPr="00CB5853">
              <w:rPr>
                <w:rFonts w:asciiTheme="majorBidi" w:hAnsiTheme="majorBidi" w:cstheme="majorBidi"/>
                <w:color w:val="000000"/>
                <w:lang w:val="en-GB"/>
              </w:rPr>
              <w:t xml:space="preserve">Shari’ah governance </w:t>
            </w:r>
            <w:r w:rsidR="00C06B69" w:rsidRPr="00C06B69">
              <w:rPr>
                <w:rFonts w:asciiTheme="majorBidi" w:hAnsiTheme="majorBidi" w:cstheme="majorBidi"/>
                <w:lang w:val="en-GB"/>
              </w:rPr>
              <w:t>mechanism</w:t>
            </w:r>
            <w:r w:rsidR="00C06B69">
              <w:rPr>
                <w:rFonts w:asciiTheme="majorBidi" w:hAnsiTheme="majorBidi" w:cstheme="majorBidi"/>
                <w:lang w:val="en-GB"/>
              </w:rPr>
              <w:t xml:space="preserve"> (</w:t>
            </w:r>
            <w:r w:rsidR="00C06B69" w:rsidRPr="00EF0510">
              <w:rPr>
                <w:rFonts w:asciiTheme="majorBidi" w:hAnsiTheme="majorBidi" w:cstheme="majorBidi"/>
                <w:lang w:val="en-GB"/>
              </w:rPr>
              <w:t>SGM) has a positive effect on</w:t>
            </w:r>
            <w:r w:rsidRPr="00EF0510">
              <w:rPr>
                <w:rFonts w:asciiTheme="majorBidi" w:hAnsiTheme="majorBidi" w:cstheme="majorBidi"/>
                <w:lang w:val="en-GB"/>
              </w:rPr>
              <w:t xml:space="preserve"> the </w:t>
            </w:r>
            <w:r w:rsidRPr="00CB5853">
              <w:rPr>
                <w:rFonts w:asciiTheme="majorBidi" w:hAnsiTheme="majorBidi" w:cstheme="majorBidi"/>
                <w:color w:val="000000"/>
                <w:lang w:val="en-GB"/>
              </w:rPr>
              <w:t>financial performance of Islamic banks.</w:t>
            </w:r>
          </w:p>
        </w:tc>
        <w:tc>
          <w:tcPr>
            <w:tcW w:w="123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p>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Yes</w:t>
            </w:r>
          </w:p>
        </w:tc>
      </w:tr>
      <w:tr w:rsidR="00263A01" w:rsidRPr="00CB5853" w:rsidTr="00DD44AD">
        <w:trPr>
          <w:jc w:val="center"/>
        </w:trPr>
        <w:tc>
          <w:tcPr>
            <w:tcW w:w="842" w:type="dxa"/>
            <w:shd w:val="clear" w:color="auto" w:fill="EEECE1"/>
          </w:tcPr>
          <w:p w:rsidR="00263A01" w:rsidRPr="00CB5853" w:rsidRDefault="002466B3"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H2</w:t>
            </w:r>
            <w:r w:rsidR="00263A01" w:rsidRPr="00CB5853">
              <w:rPr>
                <w:rFonts w:asciiTheme="majorBidi" w:hAnsiTheme="majorBidi" w:cstheme="majorBidi"/>
                <w:b/>
                <w:bCs/>
                <w:color w:val="000000"/>
                <w:lang w:val="en-GB"/>
              </w:rPr>
              <w:t>a</w:t>
            </w:r>
          </w:p>
        </w:tc>
        <w:tc>
          <w:tcPr>
            <w:tcW w:w="1701"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 xml:space="preserve">SGM </w:t>
            </w:r>
            <w:r w:rsidRPr="00CB5853">
              <w:rPr>
                <w:rFonts w:asciiTheme="majorBidi" w:hAnsiTheme="majorBidi" w:cstheme="majorBidi"/>
                <w:color w:val="000000"/>
                <w:lang w:val="en-GB"/>
              </w:rPr>
              <w:sym w:font="Wingdings" w:char="F0E0"/>
            </w:r>
            <w:r w:rsidRPr="00CB5853">
              <w:rPr>
                <w:rFonts w:asciiTheme="majorBidi" w:hAnsiTheme="majorBidi" w:cstheme="majorBidi"/>
                <w:color w:val="000000"/>
                <w:lang w:val="en-GB"/>
              </w:rPr>
              <w:t xml:space="preserve"> ROE</w:t>
            </w: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0.469</w:t>
            </w:r>
          </w:p>
        </w:tc>
        <w:tc>
          <w:tcPr>
            <w:tcW w:w="850"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2.748</w:t>
            </w:r>
          </w:p>
        </w:tc>
        <w:tc>
          <w:tcPr>
            <w:tcW w:w="1134" w:type="dxa"/>
            <w:shd w:val="clear" w:color="auto" w:fill="EEECE1"/>
          </w:tcPr>
          <w:p w:rsidR="00263A01" w:rsidRPr="00CB5853" w:rsidRDefault="00263A01" w:rsidP="00CB5853">
            <w:pPr>
              <w:pStyle w:val="BodyTextFirstIndent"/>
              <w:spacing w:line="240" w:lineRule="auto"/>
              <w:ind w:firstLine="0"/>
              <w:rPr>
                <w:rFonts w:asciiTheme="majorBidi" w:hAnsiTheme="majorBidi" w:cstheme="majorBidi"/>
                <w:color w:val="000000"/>
                <w:lang w:val="en-GB"/>
              </w:rPr>
            </w:pPr>
            <w:r w:rsidRPr="00CB5853">
              <w:rPr>
                <w:rFonts w:asciiTheme="majorBidi" w:hAnsiTheme="majorBidi" w:cstheme="majorBidi"/>
                <w:color w:val="000000"/>
                <w:lang w:val="en-GB"/>
              </w:rPr>
              <w:t>0.007***</w:t>
            </w: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S</w:t>
            </w:r>
          </w:p>
        </w:tc>
        <w:tc>
          <w:tcPr>
            <w:tcW w:w="123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Yes</w:t>
            </w:r>
          </w:p>
        </w:tc>
      </w:tr>
      <w:tr w:rsidR="00263A01" w:rsidRPr="00CB5853" w:rsidTr="00DD44AD">
        <w:trPr>
          <w:jc w:val="center"/>
        </w:trPr>
        <w:tc>
          <w:tcPr>
            <w:tcW w:w="842" w:type="dxa"/>
            <w:tcBorders>
              <w:left w:val="nil"/>
              <w:right w:val="nil"/>
            </w:tcBorders>
            <w:shd w:val="clear" w:color="auto" w:fill="EEECE1"/>
          </w:tcPr>
          <w:p w:rsidR="00263A01" w:rsidRPr="00CB5853" w:rsidRDefault="002466B3"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H2</w:t>
            </w:r>
            <w:r w:rsidR="00263A01" w:rsidRPr="00CB5853">
              <w:rPr>
                <w:rFonts w:asciiTheme="majorBidi" w:hAnsiTheme="majorBidi" w:cstheme="majorBidi"/>
                <w:b/>
                <w:bCs/>
                <w:color w:val="000000"/>
                <w:lang w:val="en-GB"/>
              </w:rPr>
              <w:t>b</w:t>
            </w:r>
          </w:p>
        </w:tc>
        <w:tc>
          <w:tcPr>
            <w:tcW w:w="1701"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 xml:space="preserve">SGM </w:t>
            </w:r>
            <w:r w:rsidRPr="00CB5853">
              <w:rPr>
                <w:rFonts w:asciiTheme="majorBidi" w:hAnsiTheme="majorBidi" w:cstheme="majorBidi"/>
                <w:color w:val="000000"/>
                <w:lang w:val="en-GB"/>
              </w:rPr>
              <w:sym w:font="Wingdings" w:char="F0E0"/>
            </w:r>
            <w:r w:rsidRPr="00CB5853">
              <w:rPr>
                <w:rFonts w:asciiTheme="majorBidi" w:hAnsiTheme="majorBidi" w:cstheme="majorBidi"/>
                <w:color w:val="000000"/>
                <w:lang w:val="en-GB"/>
              </w:rPr>
              <w:t xml:space="preserve"> ROA</w:t>
            </w:r>
          </w:p>
        </w:tc>
        <w:tc>
          <w:tcPr>
            <w:tcW w:w="1276"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0.293</w:t>
            </w:r>
          </w:p>
        </w:tc>
        <w:tc>
          <w:tcPr>
            <w:tcW w:w="850"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1.988</w:t>
            </w:r>
          </w:p>
        </w:tc>
        <w:tc>
          <w:tcPr>
            <w:tcW w:w="1134" w:type="dxa"/>
            <w:tcBorders>
              <w:left w:val="nil"/>
              <w:right w:val="nil"/>
            </w:tcBorders>
            <w:shd w:val="clear" w:color="auto" w:fill="EEECE1"/>
          </w:tcPr>
          <w:p w:rsidR="00263A01" w:rsidRPr="00CB5853" w:rsidRDefault="00263A01" w:rsidP="00CB5853">
            <w:pPr>
              <w:pStyle w:val="BodyTextFirstIndent"/>
              <w:spacing w:line="240" w:lineRule="auto"/>
              <w:ind w:firstLine="0"/>
              <w:rPr>
                <w:rFonts w:asciiTheme="majorBidi" w:hAnsiTheme="majorBidi" w:cstheme="majorBidi"/>
                <w:color w:val="000000"/>
                <w:lang w:val="en-GB"/>
              </w:rPr>
            </w:pPr>
            <w:r w:rsidRPr="00CB5853">
              <w:rPr>
                <w:rFonts w:asciiTheme="majorBidi" w:hAnsiTheme="majorBidi" w:cstheme="majorBidi"/>
                <w:color w:val="000000"/>
                <w:lang w:val="en-GB"/>
              </w:rPr>
              <w:t>0.048**</w:t>
            </w:r>
          </w:p>
        </w:tc>
        <w:tc>
          <w:tcPr>
            <w:tcW w:w="1276"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S</w:t>
            </w:r>
          </w:p>
        </w:tc>
        <w:tc>
          <w:tcPr>
            <w:tcW w:w="1236" w:type="dxa"/>
            <w:tcBorders>
              <w:left w:val="nil"/>
              <w:right w:val="nil"/>
            </w:tcBorders>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Yes</w:t>
            </w:r>
          </w:p>
        </w:tc>
      </w:tr>
      <w:tr w:rsidR="00263A01" w:rsidRPr="00CB5853" w:rsidTr="00DD44AD">
        <w:trPr>
          <w:jc w:val="center"/>
        </w:trPr>
        <w:tc>
          <w:tcPr>
            <w:tcW w:w="842" w:type="dxa"/>
            <w:shd w:val="clear" w:color="auto" w:fill="EEECE1"/>
          </w:tcPr>
          <w:p w:rsidR="00263A01" w:rsidRPr="00CB5853" w:rsidRDefault="002466B3" w:rsidP="00CB5853">
            <w:pPr>
              <w:pStyle w:val="BodyTextFirstIndent"/>
              <w:spacing w:line="240" w:lineRule="auto"/>
              <w:ind w:firstLine="0"/>
              <w:jc w:val="center"/>
              <w:rPr>
                <w:rFonts w:asciiTheme="majorBidi" w:hAnsiTheme="majorBidi" w:cstheme="majorBidi"/>
                <w:b/>
                <w:bCs/>
                <w:color w:val="000000"/>
                <w:lang w:val="en-GB"/>
              </w:rPr>
            </w:pPr>
            <w:r w:rsidRPr="00CB5853">
              <w:rPr>
                <w:rFonts w:asciiTheme="majorBidi" w:hAnsiTheme="majorBidi" w:cstheme="majorBidi"/>
                <w:b/>
                <w:bCs/>
                <w:color w:val="000000"/>
                <w:lang w:val="en-GB"/>
              </w:rPr>
              <w:t>H2</w:t>
            </w:r>
            <w:r w:rsidR="00263A01" w:rsidRPr="00CB5853">
              <w:rPr>
                <w:rFonts w:asciiTheme="majorBidi" w:hAnsiTheme="majorBidi" w:cstheme="majorBidi"/>
                <w:b/>
                <w:bCs/>
                <w:color w:val="000000"/>
                <w:lang w:val="en-GB"/>
              </w:rPr>
              <w:t>c</w:t>
            </w:r>
          </w:p>
        </w:tc>
        <w:tc>
          <w:tcPr>
            <w:tcW w:w="1701"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 xml:space="preserve">SGM </w:t>
            </w:r>
            <w:r w:rsidRPr="00CB5853">
              <w:rPr>
                <w:rFonts w:asciiTheme="majorBidi" w:hAnsiTheme="majorBidi" w:cstheme="majorBidi"/>
                <w:color w:val="000000"/>
                <w:lang w:val="en-GB"/>
              </w:rPr>
              <w:sym w:font="Wingdings" w:char="F0E0"/>
            </w:r>
            <w:r w:rsidRPr="00CB5853">
              <w:rPr>
                <w:rFonts w:asciiTheme="majorBidi" w:hAnsiTheme="majorBidi" w:cstheme="majorBidi"/>
                <w:color w:val="000000"/>
                <w:lang w:val="en-GB"/>
              </w:rPr>
              <w:t xml:space="preserve"> CTI</w:t>
            </w: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-0.141</w:t>
            </w:r>
          </w:p>
        </w:tc>
        <w:tc>
          <w:tcPr>
            <w:tcW w:w="850"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1.043</w:t>
            </w:r>
          </w:p>
        </w:tc>
        <w:tc>
          <w:tcPr>
            <w:tcW w:w="1134" w:type="dxa"/>
            <w:shd w:val="clear" w:color="auto" w:fill="EEECE1"/>
          </w:tcPr>
          <w:p w:rsidR="00263A01" w:rsidRPr="00CB5853" w:rsidRDefault="00263A01" w:rsidP="00CB5853">
            <w:pPr>
              <w:pStyle w:val="BodyTextFirstIndent"/>
              <w:spacing w:line="240" w:lineRule="auto"/>
              <w:ind w:firstLine="0"/>
              <w:rPr>
                <w:rFonts w:asciiTheme="majorBidi" w:hAnsiTheme="majorBidi" w:cstheme="majorBidi"/>
                <w:color w:val="000000"/>
                <w:lang w:val="en-GB"/>
              </w:rPr>
            </w:pPr>
            <w:r w:rsidRPr="00CB5853">
              <w:rPr>
                <w:rFonts w:asciiTheme="majorBidi" w:hAnsiTheme="majorBidi" w:cstheme="majorBidi"/>
                <w:color w:val="000000"/>
                <w:lang w:val="en-GB"/>
              </w:rPr>
              <w:t>0.298</w:t>
            </w:r>
          </w:p>
        </w:tc>
        <w:tc>
          <w:tcPr>
            <w:tcW w:w="127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NS</w:t>
            </w:r>
          </w:p>
        </w:tc>
        <w:tc>
          <w:tcPr>
            <w:tcW w:w="1236" w:type="dxa"/>
            <w:shd w:val="clear" w:color="auto" w:fill="EEECE1"/>
          </w:tcPr>
          <w:p w:rsidR="00263A01" w:rsidRPr="00CB5853" w:rsidRDefault="00263A01" w:rsidP="00CB5853">
            <w:pPr>
              <w:pStyle w:val="BodyTextFirstIndent"/>
              <w:spacing w:line="240" w:lineRule="auto"/>
              <w:ind w:firstLine="0"/>
              <w:jc w:val="center"/>
              <w:rPr>
                <w:rFonts w:asciiTheme="majorBidi" w:hAnsiTheme="majorBidi" w:cstheme="majorBidi"/>
                <w:color w:val="000000"/>
                <w:lang w:val="en-GB"/>
              </w:rPr>
            </w:pPr>
            <w:r w:rsidRPr="00CB5853">
              <w:rPr>
                <w:rFonts w:asciiTheme="majorBidi" w:hAnsiTheme="majorBidi" w:cstheme="majorBidi"/>
                <w:color w:val="000000"/>
                <w:lang w:val="en-GB"/>
              </w:rPr>
              <w:t>No</w:t>
            </w:r>
          </w:p>
        </w:tc>
      </w:tr>
    </w:tbl>
    <w:p w:rsidR="00263A01" w:rsidRPr="00CB5853" w:rsidRDefault="00263A01" w:rsidP="00176589">
      <w:pPr>
        <w:pStyle w:val="BodyTextFirstIndent"/>
        <w:spacing w:after="0" w:line="240" w:lineRule="auto"/>
        <w:ind w:firstLine="0"/>
        <w:jc w:val="both"/>
        <w:rPr>
          <w:rFonts w:asciiTheme="majorBidi" w:hAnsiTheme="majorBidi" w:cstheme="majorBidi"/>
          <w:lang w:val="en-GB"/>
        </w:rPr>
      </w:pPr>
      <w:r w:rsidRPr="00CB5853">
        <w:rPr>
          <w:rFonts w:asciiTheme="majorBidi" w:hAnsiTheme="majorBidi" w:cstheme="majorBidi"/>
          <w:lang w:val="en-GB"/>
        </w:rPr>
        <w:t xml:space="preserve">Note: </w:t>
      </w:r>
    </w:p>
    <w:p w:rsidR="00263A01" w:rsidRPr="00CB5853" w:rsidRDefault="00263A01" w:rsidP="00176589">
      <w:pPr>
        <w:pStyle w:val="BodyTextFirstIndent"/>
        <w:spacing w:after="0" w:line="240" w:lineRule="auto"/>
        <w:ind w:firstLine="0"/>
        <w:jc w:val="both"/>
        <w:rPr>
          <w:rFonts w:asciiTheme="majorBidi" w:hAnsiTheme="majorBidi" w:cstheme="majorBidi"/>
          <w:lang w:val="en-GB"/>
        </w:rPr>
      </w:pPr>
      <w:r w:rsidRPr="00CB5853">
        <w:rPr>
          <w:rFonts w:asciiTheme="majorBidi" w:hAnsiTheme="majorBidi" w:cstheme="majorBidi"/>
          <w:lang w:val="en-GB"/>
        </w:rPr>
        <w:t>NS = Not Significant;</w:t>
      </w:r>
    </w:p>
    <w:p w:rsidR="00263A01" w:rsidRPr="00CB5853" w:rsidRDefault="00263A01" w:rsidP="00176589">
      <w:pPr>
        <w:pStyle w:val="BodyTextFirstIndent"/>
        <w:spacing w:after="0" w:line="240" w:lineRule="auto"/>
        <w:ind w:firstLine="0"/>
        <w:jc w:val="both"/>
        <w:rPr>
          <w:rFonts w:asciiTheme="majorBidi" w:hAnsiTheme="majorBidi" w:cstheme="majorBidi"/>
          <w:lang w:val="en-GB"/>
        </w:rPr>
      </w:pPr>
      <w:r w:rsidRPr="00CB5853">
        <w:rPr>
          <w:rFonts w:asciiTheme="majorBidi" w:hAnsiTheme="majorBidi" w:cstheme="majorBidi"/>
          <w:lang w:val="en-GB"/>
        </w:rPr>
        <w:t xml:space="preserve"> S = Significant</w:t>
      </w:r>
    </w:p>
    <w:p w:rsidR="00263A01" w:rsidRPr="00CB5853" w:rsidRDefault="00263A01" w:rsidP="00176589">
      <w:pPr>
        <w:pStyle w:val="BodyTextFirstIndent"/>
        <w:spacing w:after="0" w:line="240" w:lineRule="auto"/>
        <w:ind w:firstLine="0"/>
        <w:jc w:val="both"/>
        <w:rPr>
          <w:rFonts w:asciiTheme="majorBidi" w:hAnsiTheme="majorBidi" w:cstheme="majorBidi"/>
          <w:lang w:val="en-GB"/>
        </w:rPr>
      </w:pPr>
      <w:r w:rsidRPr="00CB5853">
        <w:rPr>
          <w:rFonts w:asciiTheme="majorBidi" w:hAnsiTheme="majorBidi" w:cstheme="majorBidi"/>
          <w:lang w:val="en-GB"/>
        </w:rPr>
        <w:t>The t-value was greater than 1.645 (*p &lt;.10)</w:t>
      </w:r>
    </w:p>
    <w:p w:rsidR="00263A01" w:rsidRPr="00CB5853" w:rsidRDefault="00263A01" w:rsidP="00176589">
      <w:pPr>
        <w:pStyle w:val="BodyTextFirstIndent"/>
        <w:spacing w:after="0" w:line="240" w:lineRule="auto"/>
        <w:ind w:firstLine="0"/>
        <w:jc w:val="both"/>
        <w:rPr>
          <w:rFonts w:asciiTheme="majorBidi" w:hAnsiTheme="majorBidi" w:cstheme="majorBidi"/>
          <w:lang w:val="en-GB"/>
        </w:rPr>
      </w:pPr>
      <w:r w:rsidRPr="00CB5853">
        <w:rPr>
          <w:rFonts w:asciiTheme="majorBidi" w:hAnsiTheme="majorBidi" w:cstheme="majorBidi"/>
          <w:lang w:val="en-GB"/>
        </w:rPr>
        <w:t>The t-value was greater than1.946 (**p &lt;.05)</w:t>
      </w:r>
    </w:p>
    <w:p w:rsidR="00263A01" w:rsidRPr="00CB5853" w:rsidRDefault="00263A01" w:rsidP="00176589">
      <w:pPr>
        <w:pStyle w:val="BodyTextFirstIndent"/>
        <w:spacing w:after="0" w:line="240" w:lineRule="auto"/>
        <w:ind w:firstLine="0"/>
        <w:jc w:val="both"/>
        <w:rPr>
          <w:rFonts w:asciiTheme="majorBidi" w:hAnsiTheme="majorBidi" w:cstheme="majorBidi"/>
          <w:lang w:val="en-GB"/>
        </w:rPr>
      </w:pPr>
      <w:r w:rsidRPr="00CB5853">
        <w:rPr>
          <w:rFonts w:asciiTheme="majorBidi" w:hAnsiTheme="majorBidi" w:cstheme="majorBidi"/>
          <w:lang w:val="en-GB"/>
        </w:rPr>
        <w:t>The t-value was greater than 2.57 (***p&lt;.01)</w:t>
      </w:r>
    </w:p>
    <w:p w:rsidR="00263A01" w:rsidRPr="006E388F" w:rsidRDefault="00263A01" w:rsidP="006E388F">
      <w:pPr>
        <w:pStyle w:val="Caption"/>
        <w:rPr>
          <w:rFonts w:asciiTheme="majorBidi" w:hAnsiTheme="majorBidi" w:cstheme="majorBidi"/>
          <w:szCs w:val="24"/>
          <w:lang w:val="en-GB"/>
        </w:rPr>
      </w:pPr>
    </w:p>
    <w:p w:rsidR="00263A01" w:rsidRPr="006E388F" w:rsidRDefault="00130B86" w:rsidP="006E388F">
      <w:pPr>
        <w:pStyle w:val="BodyTextFirstIndent"/>
        <w:spacing w:line="240" w:lineRule="auto"/>
        <w:ind w:firstLine="0"/>
        <w:jc w:val="both"/>
        <w:rPr>
          <w:rFonts w:asciiTheme="majorBidi" w:hAnsiTheme="majorBidi" w:cstheme="majorBidi"/>
          <w:sz w:val="24"/>
          <w:szCs w:val="24"/>
          <w:lang w:val="en-GB"/>
        </w:rPr>
      </w:pPr>
      <w:r>
        <w:rPr>
          <w:rFonts w:asciiTheme="majorBidi" w:hAnsiTheme="majorBidi" w:cstheme="majorBidi"/>
          <w:sz w:val="24"/>
          <w:szCs w:val="24"/>
          <w:lang w:val="en-GB"/>
        </w:rPr>
        <w:t>Table 6</w:t>
      </w:r>
      <w:r w:rsidR="00263A01" w:rsidRPr="006E388F">
        <w:rPr>
          <w:rFonts w:asciiTheme="majorBidi" w:hAnsiTheme="majorBidi" w:cstheme="majorBidi"/>
          <w:sz w:val="24"/>
          <w:szCs w:val="24"/>
          <w:lang w:val="en-GB"/>
        </w:rPr>
        <w:t xml:space="preserve"> shows the significance of the relationship as a t-value statistic of 1.645 or more is considered to have a significant influence with a one-tailed test.  The results indicate that:</w:t>
      </w:r>
    </w:p>
    <w:p w:rsidR="00263A01" w:rsidRPr="00EF0510" w:rsidRDefault="00263A01" w:rsidP="006E388F">
      <w:pPr>
        <w:pStyle w:val="BodyTextFirstIndent"/>
        <w:numPr>
          <w:ilvl w:val="0"/>
          <w:numId w:val="8"/>
        </w:numPr>
        <w:spacing w:after="0" w:line="240" w:lineRule="auto"/>
        <w:jc w:val="both"/>
        <w:rPr>
          <w:rFonts w:asciiTheme="majorBidi" w:hAnsiTheme="majorBidi" w:cstheme="majorBidi"/>
          <w:sz w:val="24"/>
          <w:szCs w:val="24"/>
          <w:lang w:val="en-GB"/>
        </w:rPr>
      </w:pPr>
      <w:r w:rsidRPr="00EF0510">
        <w:rPr>
          <w:rFonts w:asciiTheme="majorBidi" w:hAnsiTheme="majorBidi" w:cstheme="majorBidi"/>
          <w:sz w:val="24"/>
          <w:szCs w:val="24"/>
          <w:lang w:val="en-GB"/>
        </w:rPr>
        <w:t xml:space="preserve">Corporate governance </w:t>
      </w:r>
      <w:r w:rsidR="00C06B69" w:rsidRPr="00EF0510">
        <w:rPr>
          <w:rFonts w:asciiTheme="majorBidi" w:hAnsiTheme="majorBidi" w:cstheme="majorBidi"/>
          <w:sz w:val="24"/>
          <w:szCs w:val="24"/>
          <w:lang w:val="en-GB"/>
        </w:rPr>
        <w:t>mechanism</w:t>
      </w:r>
      <w:r w:rsidR="009B516B" w:rsidRPr="00EF0510">
        <w:rPr>
          <w:rFonts w:asciiTheme="majorBidi" w:hAnsiTheme="majorBidi" w:cstheme="majorBidi"/>
          <w:sz w:val="24"/>
          <w:szCs w:val="24"/>
          <w:lang w:val="en-GB"/>
        </w:rPr>
        <w:t xml:space="preserve"> (CGM)</w:t>
      </w:r>
      <w:r w:rsidR="00C06B69" w:rsidRPr="00EF0510">
        <w:rPr>
          <w:rFonts w:asciiTheme="majorBidi" w:hAnsiTheme="majorBidi" w:cstheme="majorBidi"/>
          <w:sz w:val="24"/>
          <w:szCs w:val="24"/>
          <w:lang w:val="en-GB"/>
        </w:rPr>
        <w:t xml:space="preserve"> has a positive effect</w:t>
      </w:r>
      <w:r w:rsidR="00AA5E29" w:rsidRPr="00EF0510">
        <w:rPr>
          <w:rFonts w:asciiTheme="majorBidi" w:hAnsiTheme="majorBidi" w:cstheme="majorBidi"/>
          <w:sz w:val="24"/>
          <w:szCs w:val="24"/>
          <w:lang w:val="en-GB"/>
        </w:rPr>
        <w:t xml:space="preserve"> on return on equity</w:t>
      </w:r>
      <w:r w:rsidRPr="00EF0510">
        <w:rPr>
          <w:rFonts w:asciiTheme="majorBidi" w:hAnsiTheme="majorBidi" w:cstheme="majorBidi"/>
          <w:sz w:val="24"/>
          <w:szCs w:val="24"/>
          <w:lang w:val="en-GB"/>
        </w:rPr>
        <w:t xml:space="preserve"> (ROE) (2.582) in a one-tailed test (T Statistic &gt; 1.645).  </w:t>
      </w:r>
    </w:p>
    <w:p w:rsidR="00263A01" w:rsidRPr="00EF0510" w:rsidRDefault="00263A01" w:rsidP="006E388F">
      <w:pPr>
        <w:pStyle w:val="BodyTextFirstIndent"/>
        <w:numPr>
          <w:ilvl w:val="0"/>
          <w:numId w:val="8"/>
        </w:numPr>
        <w:spacing w:after="0" w:line="240" w:lineRule="auto"/>
        <w:jc w:val="both"/>
        <w:rPr>
          <w:rFonts w:asciiTheme="majorBidi" w:hAnsiTheme="majorBidi" w:cstheme="majorBidi"/>
          <w:sz w:val="24"/>
          <w:szCs w:val="24"/>
          <w:lang w:val="en-GB"/>
        </w:rPr>
      </w:pPr>
      <w:r w:rsidRPr="00EF0510">
        <w:rPr>
          <w:rFonts w:asciiTheme="majorBidi" w:hAnsiTheme="majorBidi" w:cstheme="majorBidi"/>
          <w:sz w:val="24"/>
          <w:szCs w:val="24"/>
          <w:lang w:val="en-GB"/>
        </w:rPr>
        <w:t xml:space="preserve">Corporate governance </w:t>
      </w:r>
      <w:r w:rsidR="00C06B69" w:rsidRPr="00EF0510">
        <w:rPr>
          <w:rFonts w:asciiTheme="majorBidi" w:hAnsiTheme="majorBidi" w:cstheme="majorBidi"/>
          <w:sz w:val="24"/>
          <w:szCs w:val="24"/>
          <w:lang w:val="en-GB"/>
        </w:rPr>
        <w:t xml:space="preserve">mechanism </w:t>
      </w:r>
      <w:r w:rsidR="009B516B" w:rsidRPr="00EF0510">
        <w:rPr>
          <w:rFonts w:asciiTheme="majorBidi" w:hAnsiTheme="majorBidi" w:cstheme="majorBidi"/>
          <w:sz w:val="24"/>
          <w:szCs w:val="24"/>
          <w:lang w:val="en-GB"/>
        </w:rPr>
        <w:t xml:space="preserve">(CGM) </w:t>
      </w:r>
      <w:r w:rsidR="00C06B69" w:rsidRPr="00EF0510">
        <w:rPr>
          <w:rFonts w:asciiTheme="majorBidi" w:hAnsiTheme="majorBidi" w:cstheme="majorBidi"/>
          <w:sz w:val="24"/>
          <w:szCs w:val="24"/>
          <w:lang w:val="en-GB"/>
        </w:rPr>
        <w:t xml:space="preserve">has a positive effect </w:t>
      </w:r>
      <w:r w:rsidRPr="00EF0510">
        <w:rPr>
          <w:rFonts w:asciiTheme="majorBidi" w:hAnsiTheme="majorBidi" w:cstheme="majorBidi"/>
          <w:sz w:val="24"/>
          <w:szCs w:val="24"/>
          <w:lang w:val="en-GB"/>
        </w:rPr>
        <w:t xml:space="preserve">on return on assets (ROA) (1.94) in a one-tailed test (T Statistic &gt; 1.645).  </w:t>
      </w:r>
    </w:p>
    <w:p w:rsidR="00263A01" w:rsidRPr="00EF0510" w:rsidRDefault="00263A01" w:rsidP="006E388F">
      <w:pPr>
        <w:pStyle w:val="BodyTextFirstIndent"/>
        <w:numPr>
          <w:ilvl w:val="0"/>
          <w:numId w:val="8"/>
        </w:numPr>
        <w:spacing w:after="0" w:line="240" w:lineRule="auto"/>
        <w:jc w:val="both"/>
        <w:rPr>
          <w:rFonts w:asciiTheme="majorBidi" w:hAnsiTheme="majorBidi" w:cstheme="majorBidi"/>
          <w:sz w:val="24"/>
          <w:szCs w:val="24"/>
          <w:lang w:val="en-GB"/>
        </w:rPr>
      </w:pPr>
      <w:r w:rsidRPr="00EF0510">
        <w:rPr>
          <w:rFonts w:asciiTheme="majorBidi" w:hAnsiTheme="majorBidi" w:cstheme="majorBidi"/>
          <w:sz w:val="24"/>
          <w:szCs w:val="24"/>
          <w:lang w:val="en-GB"/>
        </w:rPr>
        <w:t xml:space="preserve">Corporate governance </w:t>
      </w:r>
      <w:r w:rsidR="00C06B69" w:rsidRPr="00EF0510">
        <w:rPr>
          <w:rFonts w:asciiTheme="majorBidi" w:hAnsiTheme="majorBidi" w:cstheme="majorBidi"/>
          <w:sz w:val="24"/>
          <w:szCs w:val="24"/>
          <w:lang w:val="en-GB"/>
        </w:rPr>
        <w:t>mechanism</w:t>
      </w:r>
      <w:r w:rsidR="009B516B" w:rsidRPr="00EF0510">
        <w:rPr>
          <w:rFonts w:asciiTheme="majorBidi" w:hAnsiTheme="majorBidi" w:cstheme="majorBidi"/>
          <w:sz w:val="24"/>
          <w:szCs w:val="24"/>
          <w:lang w:val="en-GB"/>
        </w:rPr>
        <w:t xml:space="preserve"> (CGM)</w:t>
      </w:r>
      <w:r w:rsidR="00C06B69" w:rsidRPr="00EF0510">
        <w:rPr>
          <w:rFonts w:asciiTheme="majorBidi" w:hAnsiTheme="majorBidi" w:cstheme="majorBidi"/>
          <w:sz w:val="24"/>
          <w:szCs w:val="24"/>
          <w:lang w:val="en-GB"/>
        </w:rPr>
        <w:t xml:space="preserve"> has a positive effect </w:t>
      </w:r>
      <w:r w:rsidRPr="00EF0510">
        <w:rPr>
          <w:rFonts w:asciiTheme="majorBidi" w:hAnsiTheme="majorBidi" w:cstheme="majorBidi"/>
          <w:sz w:val="24"/>
          <w:szCs w:val="24"/>
          <w:lang w:val="en-GB"/>
        </w:rPr>
        <w:t xml:space="preserve">on </w:t>
      </w:r>
      <w:r w:rsidRPr="00EF0510">
        <w:rPr>
          <w:rFonts w:asciiTheme="majorBidi" w:hAnsiTheme="majorBidi" w:cstheme="majorBidi"/>
          <w:noProof/>
          <w:sz w:val="24"/>
          <w:szCs w:val="24"/>
          <w:lang w:val="en-GB"/>
        </w:rPr>
        <w:t>cost</w:t>
      </w:r>
      <w:r w:rsidRPr="00EF0510">
        <w:rPr>
          <w:rFonts w:asciiTheme="majorBidi" w:hAnsiTheme="majorBidi" w:cstheme="majorBidi"/>
          <w:sz w:val="24"/>
          <w:szCs w:val="24"/>
          <w:lang w:val="en-GB"/>
        </w:rPr>
        <w:t xml:space="preserve"> to income (</w:t>
      </w:r>
      <w:r w:rsidRPr="00EF0510">
        <w:rPr>
          <w:rFonts w:asciiTheme="majorBidi" w:hAnsiTheme="majorBidi" w:cstheme="majorBidi"/>
          <w:noProof/>
          <w:sz w:val="24"/>
          <w:szCs w:val="24"/>
          <w:lang w:val="en-GB"/>
        </w:rPr>
        <w:t>CTI</w:t>
      </w:r>
      <w:r w:rsidRPr="00EF0510">
        <w:rPr>
          <w:rFonts w:asciiTheme="majorBidi" w:hAnsiTheme="majorBidi" w:cstheme="majorBidi"/>
          <w:sz w:val="24"/>
          <w:szCs w:val="24"/>
          <w:lang w:val="en-GB"/>
        </w:rPr>
        <w:t xml:space="preserve">) (2.536) in a one-tailed test (T Statistic &gt; 1.645).  </w:t>
      </w:r>
    </w:p>
    <w:p w:rsidR="00263A01" w:rsidRPr="00EF0510" w:rsidRDefault="00263A01" w:rsidP="006E388F">
      <w:pPr>
        <w:pStyle w:val="BodyTextFirstIndent"/>
        <w:numPr>
          <w:ilvl w:val="0"/>
          <w:numId w:val="8"/>
        </w:numPr>
        <w:spacing w:after="0" w:line="240" w:lineRule="auto"/>
        <w:jc w:val="both"/>
        <w:rPr>
          <w:rFonts w:asciiTheme="majorBidi" w:hAnsiTheme="majorBidi" w:cstheme="majorBidi"/>
          <w:sz w:val="24"/>
          <w:szCs w:val="24"/>
          <w:lang w:val="en-GB"/>
        </w:rPr>
      </w:pPr>
      <w:r w:rsidRPr="00EF0510">
        <w:rPr>
          <w:rFonts w:asciiTheme="majorBidi" w:hAnsiTheme="majorBidi" w:cstheme="majorBidi"/>
          <w:sz w:val="24"/>
          <w:szCs w:val="24"/>
          <w:lang w:val="en-GB"/>
        </w:rPr>
        <w:lastRenderedPageBreak/>
        <w:t xml:space="preserve">Shari’ah governance </w:t>
      </w:r>
      <w:r w:rsidR="00C06B69" w:rsidRPr="00EF0510">
        <w:rPr>
          <w:rFonts w:asciiTheme="majorBidi" w:hAnsiTheme="majorBidi" w:cstheme="majorBidi"/>
          <w:sz w:val="24"/>
          <w:szCs w:val="24"/>
          <w:lang w:val="en-GB"/>
        </w:rPr>
        <w:t xml:space="preserve">mechanism </w:t>
      </w:r>
      <w:r w:rsidR="009B516B" w:rsidRPr="00EF0510">
        <w:rPr>
          <w:rFonts w:asciiTheme="majorBidi" w:hAnsiTheme="majorBidi" w:cstheme="majorBidi"/>
          <w:sz w:val="24"/>
          <w:szCs w:val="24"/>
          <w:lang w:val="en-GB"/>
        </w:rPr>
        <w:t xml:space="preserve">(SGM) </w:t>
      </w:r>
      <w:r w:rsidR="00C06B69" w:rsidRPr="00EF0510">
        <w:rPr>
          <w:rFonts w:asciiTheme="majorBidi" w:hAnsiTheme="majorBidi" w:cstheme="majorBidi"/>
          <w:sz w:val="24"/>
          <w:szCs w:val="24"/>
          <w:lang w:val="en-GB"/>
        </w:rPr>
        <w:t xml:space="preserve">has a positive effect </w:t>
      </w:r>
      <w:r w:rsidR="00AA5E29" w:rsidRPr="00EF0510">
        <w:rPr>
          <w:rFonts w:asciiTheme="majorBidi" w:hAnsiTheme="majorBidi" w:cstheme="majorBidi"/>
          <w:sz w:val="24"/>
          <w:szCs w:val="24"/>
          <w:lang w:val="en-GB"/>
        </w:rPr>
        <w:t>on return on equity</w:t>
      </w:r>
      <w:r w:rsidRPr="00EF0510">
        <w:rPr>
          <w:rFonts w:asciiTheme="majorBidi" w:hAnsiTheme="majorBidi" w:cstheme="majorBidi"/>
          <w:sz w:val="24"/>
          <w:szCs w:val="24"/>
          <w:lang w:val="en-GB"/>
        </w:rPr>
        <w:t xml:space="preserve"> (ROE) (2.748) in a one-tailed test (T Statistic &gt; 1.645).  </w:t>
      </w:r>
    </w:p>
    <w:p w:rsidR="00263A01" w:rsidRPr="00EF0510" w:rsidRDefault="00263A01" w:rsidP="006E388F">
      <w:pPr>
        <w:pStyle w:val="BodyTextFirstIndent"/>
        <w:numPr>
          <w:ilvl w:val="0"/>
          <w:numId w:val="8"/>
        </w:numPr>
        <w:spacing w:after="0" w:line="240" w:lineRule="auto"/>
        <w:jc w:val="both"/>
        <w:rPr>
          <w:rFonts w:asciiTheme="majorBidi" w:hAnsiTheme="majorBidi" w:cstheme="majorBidi"/>
          <w:sz w:val="24"/>
          <w:szCs w:val="24"/>
          <w:lang w:val="en-GB"/>
        </w:rPr>
      </w:pPr>
      <w:r w:rsidRPr="00EF0510">
        <w:rPr>
          <w:rFonts w:asciiTheme="majorBidi" w:hAnsiTheme="majorBidi" w:cstheme="majorBidi"/>
          <w:sz w:val="24"/>
          <w:szCs w:val="24"/>
          <w:lang w:val="en-GB"/>
        </w:rPr>
        <w:t xml:space="preserve">Shari’ah governance </w:t>
      </w:r>
      <w:r w:rsidR="009B516B" w:rsidRPr="00EF0510">
        <w:rPr>
          <w:rFonts w:asciiTheme="majorBidi" w:hAnsiTheme="majorBidi" w:cstheme="majorBidi"/>
          <w:sz w:val="24"/>
          <w:szCs w:val="24"/>
          <w:lang w:val="en-GB"/>
        </w:rPr>
        <w:t xml:space="preserve">mechanism (SGM) has a positive effect </w:t>
      </w:r>
      <w:r w:rsidRPr="00EF0510">
        <w:rPr>
          <w:rFonts w:asciiTheme="majorBidi" w:hAnsiTheme="majorBidi" w:cstheme="majorBidi"/>
          <w:sz w:val="24"/>
          <w:szCs w:val="24"/>
          <w:lang w:val="en-GB"/>
        </w:rPr>
        <w:t xml:space="preserve">on return on assets (ROA) (1.988) in a one-tailed test (T Statistic &gt; 1.645).  </w:t>
      </w:r>
    </w:p>
    <w:p w:rsidR="00263A01" w:rsidRPr="00EF0510" w:rsidRDefault="00263A01" w:rsidP="006E388F">
      <w:pPr>
        <w:pStyle w:val="BodyTextFirstIndent"/>
        <w:numPr>
          <w:ilvl w:val="0"/>
          <w:numId w:val="8"/>
        </w:numPr>
        <w:spacing w:after="0" w:line="240" w:lineRule="auto"/>
        <w:jc w:val="both"/>
        <w:rPr>
          <w:rFonts w:asciiTheme="majorBidi" w:hAnsiTheme="majorBidi" w:cstheme="majorBidi"/>
          <w:sz w:val="24"/>
          <w:szCs w:val="24"/>
          <w:lang w:val="en-GB"/>
        </w:rPr>
      </w:pPr>
      <w:r w:rsidRPr="00EF0510">
        <w:rPr>
          <w:rFonts w:asciiTheme="majorBidi" w:hAnsiTheme="majorBidi" w:cstheme="majorBidi"/>
          <w:sz w:val="24"/>
          <w:szCs w:val="24"/>
          <w:lang w:val="en-GB"/>
        </w:rPr>
        <w:t xml:space="preserve">Shari’ah governance </w:t>
      </w:r>
      <w:r w:rsidR="009B516B" w:rsidRPr="00EF0510">
        <w:rPr>
          <w:rFonts w:asciiTheme="majorBidi" w:hAnsiTheme="majorBidi" w:cstheme="majorBidi"/>
          <w:sz w:val="24"/>
          <w:szCs w:val="24"/>
          <w:lang w:val="en-GB"/>
        </w:rPr>
        <w:t xml:space="preserve">mechanism (SGM) has a positive effect </w:t>
      </w:r>
      <w:r w:rsidRPr="00EF0510">
        <w:rPr>
          <w:rFonts w:asciiTheme="majorBidi" w:hAnsiTheme="majorBidi" w:cstheme="majorBidi"/>
          <w:sz w:val="24"/>
          <w:szCs w:val="24"/>
          <w:lang w:val="en-GB"/>
        </w:rPr>
        <w:t xml:space="preserve">on </w:t>
      </w:r>
      <w:r w:rsidRPr="00EF0510">
        <w:rPr>
          <w:rFonts w:asciiTheme="majorBidi" w:hAnsiTheme="majorBidi" w:cstheme="majorBidi"/>
          <w:noProof/>
          <w:sz w:val="24"/>
          <w:szCs w:val="24"/>
          <w:lang w:val="en-GB"/>
        </w:rPr>
        <w:t>cost</w:t>
      </w:r>
      <w:r w:rsidRPr="00EF0510">
        <w:rPr>
          <w:rFonts w:asciiTheme="majorBidi" w:hAnsiTheme="majorBidi" w:cstheme="majorBidi"/>
          <w:sz w:val="24"/>
          <w:szCs w:val="24"/>
          <w:lang w:val="en-GB"/>
        </w:rPr>
        <w:t xml:space="preserve"> to income (</w:t>
      </w:r>
      <w:r w:rsidRPr="00EF0510">
        <w:rPr>
          <w:rFonts w:asciiTheme="majorBidi" w:hAnsiTheme="majorBidi" w:cstheme="majorBidi"/>
          <w:noProof/>
          <w:sz w:val="24"/>
          <w:szCs w:val="24"/>
          <w:lang w:val="en-GB"/>
        </w:rPr>
        <w:t>CTI</w:t>
      </w:r>
      <w:r w:rsidRPr="00EF0510">
        <w:rPr>
          <w:rFonts w:asciiTheme="majorBidi" w:hAnsiTheme="majorBidi" w:cstheme="majorBidi"/>
          <w:sz w:val="24"/>
          <w:szCs w:val="24"/>
          <w:lang w:val="en-GB"/>
        </w:rPr>
        <w:t xml:space="preserve">) (1.043) in a one-tailed test (T Statistic &gt; 1.645).  </w:t>
      </w:r>
    </w:p>
    <w:p w:rsidR="00130B86" w:rsidRPr="006E388F" w:rsidRDefault="00130B86" w:rsidP="00130B86">
      <w:pPr>
        <w:pStyle w:val="BodyTextFirstIndent"/>
        <w:spacing w:after="0" w:line="240" w:lineRule="auto"/>
        <w:ind w:left="1080" w:firstLine="0"/>
        <w:jc w:val="both"/>
        <w:rPr>
          <w:rFonts w:asciiTheme="majorBidi" w:hAnsiTheme="majorBidi" w:cstheme="majorBidi"/>
          <w:sz w:val="24"/>
          <w:szCs w:val="24"/>
          <w:lang w:val="en-GB"/>
        </w:rPr>
      </w:pPr>
    </w:p>
    <w:p w:rsidR="00263A01" w:rsidRDefault="00263A01" w:rsidP="00130B86">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The statistical findings </w:t>
      </w:r>
      <w:r w:rsidRPr="006E388F">
        <w:rPr>
          <w:rFonts w:asciiTheme="majorBidi" w:hAnsiTheme="majorBidi" w:cstheme="majorBidi"/>
          <w:noProof/>
          <w:sz w:val="24"/>
          <w:szCs w:val="24"/>
          <w:lang w:val="en-GB"/>
        </w:rPr>
        <w:t>for</w:t>
      </w:r>
      <w:r w:rsidRPr="006E388F">
        <w:rPr>
          <w:rFonts w:asciiTheme="majorBidi" w:hAnsiTheme="majorBidi" w:cstheme="majorBidi"/>
          <w:sz w:val="24"/>
          <w:szCs w:val="24"/>
          <w:lang w:val="en-GB"/>
        </w:rPr>
        <w:t xml:space="preserve"> the evaluation of the influence of Shari’ah governance mechanisms on financial </w:t>
      </w:r>
      <w:r w:rsidRPr="006E388F">
        <w:rPr>
          <w:rFonts w:asciiTheme="majorBidi" w:hAnsiTheme="majorBidi" w:cstheme="majorBidi"/>
          <w:noProof/>
          <w:sz w:val="24"/>
          <w:szCs w:val="24"/>
          <w:lang w:val="en-GB"/>
        </w:rPr>
        <w:t>performance,</w:t>
      </w:r>
      <w:r w:rsidRPr="006E388F">
        <w:rPr>
          <w:rFonts w:asciiTheme="majorBidi" w:hAnsiTheme="majorBidi" w:cstheme="majorBidi"/>
          <w:sz w:val="24"/>
          <w:szCs w:val="24"/>
          <w:lang w:val="en-GB"/>
        </w:rPr>
        <w:t xml:space="preserve"> indicate that from three variables, i.e., ROE, </w:t>
      </w:r>
      <w:r w:rsidRPr="006E388F">
        <w:rPr>
          <w:rFonts w:asciiTheme="majorBidi" w:hAnsiTheme="majorBidi" w:cstheme="majorBidi"/>
          <w:noProof/>
          <w:sz w:val="24"/>
          <w:szCs w:val="24"/>
          <w:lang w:val="en-GB"/>
        </w:rPr>
        <w:t>ROA</w:t>
      </w:r>
      <w:r w:rsidRPr="006E388F">
        <w:rPr>
          <w:rFonts w:asciiTheme="majorBidi" w:hAnsiTheme="majorBidi" w:cstheme="majorBidi"/>
          <w:sz w:val="24"/>
          <w:szCs w:val="24"/>
          <w:lang w:val="en-GB"/>
        </w:rPr>
        <w:t xml:space="preserve"> and </w:t>
      </w:r>
      <w:r w:rsidRPr="006E388F">
        <w:rPr>
          <w:rFonts w:asciiTheme="majorBidi" w:hAnsiTheme="majorBidi" w:cstheme="majorBidi"/>
          <w:noProof/>
          <w:sz w:val="24"/>
          <w:szCs w:val="24"/>
          <w:lang w:val="en-GB"/>
        </w:rPr>
        <w:t>CTI</w:t>
      </w:r>
      <w:r w:rsidRPr="006E388F">
        <w:rPr>
          <w:rFonts w:asciiTheme="majorBidi" w:hAnsiTheme="majorBidi" w:cstheme="majorBidi"/>
          <w:sz w:val="24"/>
          <w:szCs w:val="24"/>
          <w:lang w:val="en-GB"/>
        </w:rPr>
        <w:t>, two results out of three (ROE and ROA) show significant findings.  Hence, it can be concluded that Shari’ah governance mechanisms significantly influence the financial performance of Islamic banks.</w:t>
      </w:r>
    </w:p>
    <w:p w:rsidR="00263A01" w:rsidRPr="006E388F" w:rsidRDefault="00130B86" w:rsidP="00B53509">
      <w:pPr>
        <w:pStyle w:val="Caption"/>
        <w:rPr>
          <w:rFonts w:asciiTheme="majorBidi" w:hAnsiTheme="majorBidi" w:cstheme="majorBidi"/>
          <w:b w:val="0"/>
          <w:bCs w:val="0"/>
          <w:szCs w:val="24"/>
          <w:lang w:val="en-GB"/>
        </w:rPr>
      </w:pPr>
      <w:bookmarkStart w:id="11" w:name="_Toc490042478"/>
      <w:r>
        <w:rPr>
          <w:rFonts w:asciiTheme="majorBidi" w:hAnsiTheme="majorBidi" w:cstheme="majorBidi"/>
          <w:b w:val="0"/>
          <w:bCs w:val="0"/>
          <w:szCs w:val="24"/>
          <w:lang w:val="en-GB"/>
        </w:rPr>
        <w:t xml:space="preserve">Table </w:t>
      </w:r>
      <w:r w:rsidR="00B53509">
        <w:rPr>
          <w:rFonts w:asciiTheme="majorBidi" w:hAnsiTheme="majorBidi" w:cstheme="majorBidi"/>
          <w:b w:val="0"/>
          <w:bCs w:val="0"/>
          <w:szCs w:val="24"/>
          <w:lang w:val="en-GB"/>
        </w:rPr>
        <w:t>7</w:t>
      </w:r>
      <w:r w:rsidR="00263A01" w:rsidRPr="006E388F">
        <w:rPr>
          <w:rFonts w:asciiTheme="majorBidi" w:hAnsiTheme="majorBidi" w:cstheme="majorBidi"/>
          <w:b w:val="0"/>
          <w:bCs w:val="0"/>
          <w:szCs w:val="24"/>
          <w:lang w:val="en-GB"/>
        </w:rPr>
        <w:t xml:space="preserve"> Summary Results of Research</w:t>
      </w:r>
      <w:bookmarkEnd w:id="11"/>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3"/>
        <w:gridCol w:w="1236"/>
        <w:gridCol w:w="1871"/>
      </w:tblGrid>
      <w:tr w:rsidR="00263A01" w:rsidRPr="006E388F" w:rsidTr="00130B86">
        <w:tc>
          <w:tcPr>
            <w:tcW w:w="5143" w:type="dxa"/>
            <w:shd w:val="clear" w:color="auto" w:fill="auto"/>
          </w:tcPr>
          <w:p w:rsidR="00263A01" w:rsidRPr="006E388F" w:rsidRDefault="00263A01" w:rsidP="006E388F">
            <w:pPr>
              <w:pStyle w:val="BodyTextFirstIndent"/>
              <w:spacing w:line="240" w:lineRule="auto"/>
              <w:ind w:firstLine="0"/>
              <w:jc w:val="center"/>
              <w:rPr>
                <w:rFonts w:asciiTheme="majorBidi" w:hAnsiTheme="majorBidi" w:cstheme="majorBidi"/>
                <w:b/>
                <w:bCs/>
                <w:sz w:val="24"/>
                <w:szCs w:val="24"/>
                <w:lang w:val="en-GB"/>
              </w:rPr>
            </w:pPr>
            <w:r w:rsidRPr="006E388F">
              <w:rPr>
                <w:rFonts w:asciiTheme="majorBidi" w:hAnsiTheme="majorBidi" w:cstheme="majorBidi"/>
                <w:b/>
                <w:bCs/>
                <w:sz w:val="24"/>
                <w:szCs w:val="24"/>
                <w:lang w:val="en-GB"/>
              </w:rPr>
              <w:t>Hypotheses</w:t>
            </w:r>
          </w:p>
        </w:tc>
        <w:tc>
          <w:tcPr>
            <w:tcW w:w="1236" w:type="dxa"/>
            <w:shd w:val="clear" w:color="auto" w:fill="auto"/>
          </w:tcPr>
          <w:p w:rsidR="00263A01" w:rsidRPr="006E388F" w:rsidRDefault="00263A01" w:rsidP="006E388F">
            <w:pPr>
              <w:pStyle w:val="BodyTextFirstIndent"/>
              <w:spacing w:line="240" w:lineRule="auto"/>
              <w:ind w:firstLine="0"/>
              <w:jc w:val="center"/>
              <w:rPr>
                <w:rFonts w:asciiTheme="majorBidi" w:hAnsiTheme="majorBidi" w:cstheme="majorBidi"/>
                <w:b/>
                <w:bCs/>
                <w:sz w:val="24"/>
                <w:szCs w:val="24"/>
                <w:lang w:val="en-GB"/>
              </w:rPr>
            </w:pPr>
            <w:r w:rsidRPr="006E388F">
              <w:rPr>
                <w:rFonts w:asciiTheme="majorBidi" w:hAnsiTheme="majorBidi" w:cstheme="majorBidi"/>
                <w:b/>
                <w:bCs/>
                <w:sz w:val="24"/>
                <w:szCs w:val="24"/>
                <w:lang w:val="en-GB"/>
              </w:rPr>
              <w:t>Results</w:t>
            </w:r>
          </w:p>
        </w:tc>
        <w:tc>
          <w:tcPr>
            <w:tcW w:w="1871" w:type="dxa"/>
            <w:shd w:val="clear" w:color="auto" w:fill="auto"/>
          </w:tcPr>
          <w:p w:rsidR="00263A01" w:rsidRPr="006E388F" w:rsidRDefault="00263A01" w:rsidP="006E388F">
            <w:pPr>
              <w:pStyle w:val="BodyTextFirstIndent"/>
              <w:spacing w:line="240" w:lineRule="auto"/>
              <w:ind w:firstLine="0"/>
              <w:jc w:val="center"/>
              <w:rPr>
                <w:rFonts w:asciiTheme="majorBidi" w:hAnsiTheme="majorBidi" w:cstheme="majorBidi"/>
                <w:b/>
                <w:bCs/>
                <w:sz w:val="24"/>
                <w:szCs w:val="24"/>
                <w:lang w:val="en-GB"/>
              </w:rPr>
            </w:pPr>
            <w:r w:rsidRPr="006E388F">
              <w:rPr>
                <w:rFonts w:asciiTheme="majorBidi" w:hAnsiTheme="majorBidi" w:cstheme="majorBidi"/>
                <w:b/>
                <w:bCs/>
                <w:sz w:val="24"/>
                <w:szCs w:val="24"/>
                <w:lang w:val="en-GB"/>
              </w:rPr>
              <w:t>Supported/Not Supported</w:t>
            </w:r>
          </w:p>
        </w:tc>
      </w:tr>
      <w:tr w:rsidR="00263A01" w:rsidRPr="006E388F" w:rsidTr="00130B86">
        <w:tc>
          <w:tcPr>
            <w:tcW w:w="5143" w:type="dxa"/>
            <w:shd w:val="clear" w:color="auto" w:fill="auto"/>
          </w:tcPr>
          <w:p w:rsidR="00263A01" w:rsidRPr="00EF0510" w:rsidRDefault="00AA5E29" w:rsidP="006E388F">
            <w:pPr>
              <w:pStyle w:val="BodyTextFirstIndent"/>
              <w:spacing w:line="240" w:lineRule="auto"/>
              <w:ind w:firstLine="0"/>
              <w:rPr>
                <w:rFonts w:asciiTheme="majorBidi" w:hAnsiTheme="majorBidi" w:cstheme="majorBidi"/>
                <w:sz w:val="24"/>
                <w:szCs w:val="24"/>
                <w:lang w:val="en-GB"/>
              </w:rPr>
            </w:pPr>
            <w:r w:rsidRPr="00EF0510">
              <w:rPr>
                <w:rFonts w:asciiTheme="majorBidi" w:hAnsiTheme="majorBidi" w:cstheme="majorBidi"/>
                <w:sz w:val="24"/>
                <w:szCs w:val="24"/>
                <w:lang w:val="en-GB"/>
              </w:rPr>
              <w:t>H1</w:t>
            </w:r>
            <w:r w:rsidR="00263A01" w:rsidRPr="00EF0510">
              <w:rPr>
                <w:rFonts w:asciiTheme="majorBidi" w:hAnsiTheme="majorBidi" w:cstheme="majorBidi"/>
                <w:sz w:val="24"/>
                <w:szCs w:val="24"/>
                <w:lang w:val="en-GB"/>
              </w:rPr>
              <w:t>:</w:t>
            </w:r>
            <w:r w:rsidR="001B5A1F" w:rsidRPr="00EF0510">
              <w:rPr>
                <w:rFonts w:asciiTheme="majorBidi" w:hAnsiTheme="majorBidi" w:cstheme="majorBidi"/>
                <w:sz w:val="24"/>
                <w:szCs w:val="24"/>
                <w:lang w:val="en-GB"/>
              </w:rPr>
              <w:t xml:space="preserve"> Corporate governance mechanism</w:t>
            </w:r>
            <w:r w:rsidR="00263A01" w:rsidRPr="00EF0510">
              <w:rPr>
                <w:rFonts w:asciiTheme="majorBidi" w:hAnsiTheme="majorBidi" w:cstheme="majorBidi"/>
                <w:sz w:val="24"/>
                <w:szCs w:val="24"/>
                <w:lang w:val="en-GB"/>
              </w:rPr>
              <w:t xml:space="preserve"> (CGM) </w:t>
            </w:r>
            <w:r w:rsidR="001B5A1F" w:rsidRPr="00EF0510">
              <w:rPr>
                <w:rFonts w:asciiTheme="majorBidi" w:hAnsiTheme="majorBidi" w:cstheme="majorBidi"/>
                <w:sz w:val="24"/>
                <w:szCs w:val="24"/>
                <w:lang w:val="en-GB"/>
              </w:rPr>
              <w:t xml:space="preserve">has a positive effect </w:t>
            </w:r>
            <w:r w:rsidR="00263A01" w:rsidRPr="00EF0510">
              <w:rPr>
                <w:rFonts w:asciiTheme="majorBidi" w:hAnsiTheme="majorBidi" w:cstheme="majorBidi"/>
                <w:sz w:val="24"/>
                <w:szCs w:val="24"/>
                <w:lang w:val="en-GB"/>
              </w:rPr>
              <w:t>on the financial performance (FP) of Islamic banks.</w:t>
            </w:r>
          </w:p>
        </w:tc>
        <w:tc>
          <w:tcPr>
            <w:tcW w:w="1236" w:type="dxa"/>
            <w:shd w:val="clear" w:color="auto" w:fill="auto"/>
          </w:tcPr>
          <w:p w:rsidR="00263A01" w:rsidRPr="006E388F" w:rsidRDefault="00263A01"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w:t>
            </w:r>
          </w:p>
        </w:tc>
        <w:tc>
          <w:tcPr>
            <w:tcW w:w="1871" w:type="dxa"/>
            <w:shd w:val="clear" w:color="auto" w:fill="auto"/>
          </w:tcPr>
          <w:p w:rsidR="00263A01" w:rsidRPr="006E388F" w:rsidRDefault="00263A01"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Supported</w:t>
            </w:r>
          </w:p>
        </w:tc>
      </w:tr>
      <w:tr w:rsidR="00263A01" w:rsidRPr="006E388F" w:rsidTr="00130B86">
        <w:tc>
          <w:tcPr>
            <w:tcW w:w="5143" w:type="dxa"/>
            <w:shd w:val="clear" w:color="auto" w:fill="auto"/>
          </w:tcPr>
          <w:p w:rsidR="00263A01" w:rsidRPr="00EF0510" w:rsidRDefault="00AA5E29" w:rsidP="006E388F">
            <w:pPr>
              <w:spacing w:line="240" w:lineRule="auto"/>
              <w:rPr>
                <w:rFonts w:asciiTheme="majorBidi" w:hAnsiTheme="majorBidi" w:cstheme="majorBidi"/>
                <w:sz w:val="24"/>
                <w:szCs w:val="24"/>
                <w:lang w:val="en-GB"/>
              </w:rPr>
            </w:pPr>
            <w:r w:rsidRPr="00EF0510">
              <w:rPr>
                <w:rFonts w:asciiTheme="majorBidi" w:hAnsiTheme="majorBidi" w:cstheme="majorBidi"/>
                <w:sz w:val="24"/>
                <w:szCs w:val="24"/>
                <w:lang w:val="en-GB"/>
              </w:rPr>
              <w:t>H2</w:t>
            </w:r>
            <w:r w:rsidR="001B5A1F" w:rsidRPr="00EF0510">
              <w:rPr>
                <w:rFonts w:asciiTheme="majorBidi" w:hAnsiTheme="majorBidi" w:cstheme="majorBidi"/>
                <w:sz w:val="24"/>
                <w:szCs w:val="24"/>
                <w:lang w:val="en-GB"/>
              </w:rPr>
              <w:t>: Shari’ah governance mechanism</w:t>
            </w:r>
            <w:r w:rsidR="00263A01" w:rsidRPr="00EF0510">
              <w:rPr>
                <w:rFonts w:asciiTheme="majorBidi" w:hAnsiTheme="majorBidi" w:cstheme="majorBidi"/>
                <w:sz w:val="24"/>
                <w:szCs w:val="24"/>
                <w:lang w:val="en-GB"/>
              </w:rPr>
              <w:t xml:space="preserve"> (SGM) </w:t>
            </w:r>
            <w:r w:rsidR="001B5A1F" w:rsidRPr="00EF0510">
              <w:rPr>
                <w:rFonts w:asciiTheme="majorBidi" w:hAnsiTheme="majorBidi" w:cstheme="majorBidi"/>
                <w:sz w:val="24"/>
                <w:szCs w:val="24"/>
                <w:lang w:val="en-GB"/>
              </w:rPr>
              <w:t>has a positive effect</w:t>
            </w:r>
            <w:r w:rsidR="00263A01" w:rsidRPr="00EF0510">
              <w:rPr>
                <w:rFonts w:asciiTheme="majorBidi" w:hAnsiTheme="majorBidi" w:cstheme="majorBidi"/>
                <w:sz w:val="24"/>
                <w:szCs w:val="24"/>
                <w:lang w:val="en-GB"/>
              </w:rPr>
              <w:t xml:space="preserve"> on the financial performance (FP) of Islamic banks.</w:t>
            </w:r>
          </w:p>
        </w:tc>
        <w:tc>
          <w:tcPr>
            <w:tcW w:w="1236" w:type="dxa"/>
            <w:shd w:val="clear" w:color="auto" w:fill="auto"/>
          </w:tcPr>
          <w:p w:rsidR="00263A01" w:rsidRPr="006E388F" w:rsidRDefault="00263A01"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w:t>
            </w:r>
          </w:p>
        </w:tc>
        <w:tc>
          <w:tcPr>
            <w:tcW w:w="1871" w:type="dxa"/>
            <w:shd w:val="clear" w:color="auto" w:fill="auto"/>
          </w:tcPr>
          <w:p w:rsidR="00263A01" w:rsidRPr="006E388F" w:rsidRDefault="00263A01" w:rsidP="006E388F">
            <w:pPr>
              <w:pStyle w:val="BodyTextFirstIndent"/>
              <w:spacing w:line="240" w:lineRule="auto"/>
              <w:ind w:firstLine="0"/>
              <w:jc w:val="center"/>
              <w:rPr>
                <w:rFonts w:asciiTheme="majorBidi" w:hAnsiTheme="majorBidi" w:cstheme="majorBidi"/>
                <w:sz w:val="24"/>
                <w:szCs w:val="24"/>
                <w:lang w:val="en-GB"/>
              </w:rPr>
            </w:pPr>
            <w:r w:rsidRPr="006E388F">
              <w:rPr>
                <w:rFonts w:asciiTheme="majorBidi" w:hAnsiTheme="majorBidi" w:cstheme="majorBidi"/>
                <w:sz w:val="24"/>
                <w:szCs w:val="24"/>
                <w:lang w:val="en-GB"/>
              </w:rPr>
              <w:t>Supported</w:t>
            </w:r>
          </w:p>
        </w:tc>
      </w:tr>
    </w:tbl>
    <w:p w:rsidR="00263A01" w:rsidRPr="006E388F" w:rsidRDefault="00263A01" w:rsidP="006E388F">
      <w:pPr>
        <w:pStyle w:val="BodyTextFirstIndent"/>
        <w:spacing w:line="240" w:lineRule="auto"/>
        <w:ind w:firstLine="720"/>
        <w:rPr>
          <w:rFonts w:asciiTheme="majorBidi" w:hAnsiTheme="majorBidi" w:cstheme="majorBidi"/>
          <w:sz w:val="24"/>
          <w:szCs w:val="24"/>
          <w:lang w:val="en-GB"/>
        </w:rPr>
      </w:pPr>
    </w:p>
    <w:p w:rsidR="00263A01" w:rsidRPr="006E388F" w:rsidRDefault="00130B86" w:rsidP="007F04E2">
      <w:pPr>
        <w:pStyle w:val="BodyTextFirstIndent"/>
        <w:spacing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Table 7</w:t>
      </w:r>
      <w:r w:rsidR="00263A01" w:rsidRPr="006E388F">
        <w:rPr>
          <w:rFonts w:asciiTheme="majorBidi" w:hAnsiTheme="majorBidi" w:cstheme="majorBidi"/>
          <w:sz w:val="24"/>
          <w:szCs w:val="24"/>
          <w:lang w:val="en-GB"/>
        </w:rPr>
        <w:t xml:space="preserve"> shows the decisions to support or not to support the relationships. CGM </w:t>
      </w:r>
      <w:r w:rsidR="006B7BE8">
        <w:rPr>
          <w:rFonts w:asciiTheme="majorBidi" w:hAnsiTheme="majorBidi" w:cstheme="majorBidi"/>
          <w:noProof/>
          <w:sz w:val="24"/>
          <w:szCs w:val="24"/>
          <w:lang w:val="en-GB"/>
        </w:rPr>
        <w:t>is</w:t>
      </w:r>
      <w:r w:rsidR="00263A01" w:rsidRPr="006E388F">
        <w:rPr>
          <w:rFonts w:asciiTheme="majorBidi" w:hAnsiTheme="majorBidi" w:cstheme="majorBidi"/>
          <w:sz w:val="24"/>
          <w:szCs w:val="24"/>
          <w:lang w:val="en-GB"/>
        </w:rPr>
        <w:t xml:space="preserve"> represented as the control and monitoring mechanisms of corporate governance, i.e., board size, board competency, non-executive directors and bo</w:t>
      </w:r>
      <w:r w:rsidR="00E022E0">
        <w:rPr>
          <w:rFonts w:asciiTheme="majorBidi" w:hAnsiTheme="majorBidi" w:cstheme="majorBidi"/>
          <w:sz w:val="24"/>
          <w:szCs w:val="24"/>
          <w:lang w:val="en-GB"/>
        </w:rPr>
        <w:t>ard meetings. Meanwhile, SGM is</w:t>
      </w:r>
      <w:r w:rsidR="00263A01" w:rsidRPr="006E388F">
        <w:rPr>
          <w:rFonts w:asciiTheme="majorBidi" w:hAnsiTheme="majorBidi" w:cstheme="majorBidi"/>
          <w:sz w:val="24"/>
          <w:szCs w:val="24"/>
          <w:lang w:val="en-GB"/>
        </w:rPr>
        <w:t xml:space="preserve"> represented by the Shari’ah board size and meeting. Theoretically, a good board would lead to good Islamic banks’ performance.</w:t>
      </w:r>
    </w:p>
    <w:p w:rsidR="00263A01" w:rsidRPr="006E388F" w:rsidRDefault="00263A01" w:rsidP="007F04E2">
      <w:pPr>
        <w:pStyle w:val="BodyTextFirstIndent"/>
        <w:spacing w:line="240" w:lineRule="auto"/>
        <w:ind w:firstLine="720"/>
        <w:jc w:val="both"/>
        <w:rPr>
          <w:rStyle w:val="Style14ptBoldKernat16pt"/>
          <w:rFonts w:asciiTheme="majorBidi" w:hAnsiTheme="majorBidi" w:cstheme="majorBidi"/>
          <w:bCs w:val="0"/>
          <w:color w:val="auto"/>
          <w:szCs w:val="24"/>
          <w:lang w:val="en-GB"/>
        </w:rPr>
      </w:pPr>
      <w:r w:rsidRPr="006E388F">
        <w:rPr>
          <w:rStyle w:val="Style14ptBoldKernat16pt"/>
          <w:rFonts w:asciiTheme="majorBidi" w:hAnsiTheme="majorBidi" w:cstheme="majorBidi"/>
          <w:bCs w:val="0"/>
          <w:color w:val="auto"/>
          <w:szCs w:val="24"/>
          <w:lang w:val="en-GB"/>
        </w:rPr>
        <w:t xml:space="preserve">Meanwhile, FP can be measured by financial ratio. The financial ratio analysis is widely recognized and entrenched as a valid instrument for examining the performance of economic entities, as highlighted by Hassan and Bashir (2002), </w:t>
      </w:r>
      <w:r w:rsidRPr="006E388F">
        <w:rPr>
          <w:rStyle w:val="Style14ptBoldKernat16pt"/>
          <w:rFonts w:asciiTheme="majorBidi" w:hAnsiTheme="majorBidi" w:cstheme="majorBidi"/>
          <w:bCs w:val="0"/>
          <w:color w:val="auto"/>
          <w:szCs w:val="24"/>
          <w:lang w:val="en-GB"/>
        </w:rPr>
        <w:fldChar w:fldCharType="begin" w:fldLock="1"/>
      </w:r>
      <w:r w:rsidRPr="006E388F">
        <w:rPr>
          <w:rStyle w:val="Style14ptBoldKernat16pt"/>
          <w:rFonts w:asciiTheme="majorBidi" w:hAnsiTheme="majorBidi" w:cstheme="majorBidi"/>
          <w:bCs w:val="0"/>
          <w:color w:val="auto"/>
          <w:szCs w:val="24"/>
          <w:lang w:val="en-GB"/>
        </w:rPr>
        <w:instrText>ADDIN CSL_CITATION { "citationItems" : [ { "id" : "ITEM-1", "itemData" : { "author" : [ { "dropping-particle" : "", "family" : "Li", "given" : "Yongqiang", "non-dropping-particle" : "", "parse-names" : false, "suffix" : "" }, { "dropping-particle" : "", "family" : "Hassan", "given" : "Abdi", "non-dropping-particle" : "", "parse-names" : false, "suffix" : "" }, { "dropping-particle" : "", "family" : "Abdirashid", "given" : "Esse", "non-dropping-particle" : "", "parse-names" : false, "suffix" : "" }, { "dropping-particle" : "", "family" : "Zeller", "given" : "Bruno", "non-dropping-particle" : "", "parse-names" : false, "suffix" : "" }, { "dropping-particle" : "", "family" : "Du", "given" : "Miaoli", "non-dropping-particle" : "", "parse-names" : false, "suffix" : "" } ], "container-title" : "Corporate Ownership &amp; Control", "id" : "ITEM-1", "issue" : "4", "issued" : { "date-parts" : [ [ "2012" ] ] }, "page" : "50-60", "title" : "The impact of investor protection on financial performance of Islamic banks: an empirical analysis", "type" : "article-journal", "volume" : "9" }, "uris" : [ "http://www.mendeley.com/documents/?uuid=f0e77910-5cb2-4d6e-a2b1-4a846dc8bdcb" ] } ], "mendeley" : { "formattedCitation" : "(Li et al., 2012)", "manualFormatting" : "Li et al., (2012)", "plainTextFormattedCitation" : "(Li et al., 2012)", "previouslyFormattedCitation" : "(Li et al., 2012)" }, "properties" : { "noteIndex" : 0 }, "schema" : "https://github.com/citation-style-language/schema/raw/master/csl-citation.json" }</w:instrText>
      </w:r>
      <w:r w:rsidRPr="006E388F">
        <w:rPr>
          <w:rStyle w:val="Style14ptBoldKernat16pt"/>
          <w:rFonts w:asciiTheme="majorBidi" w:hAnsiTheme="majorBidi" w:cstheme="majorBidi"/>
          <w:bCs w:val="0"/>
          <w:color w:val="auto"/>
          <w:szCs w:val="24"/>
          <w:lang w:val="en-GB"/>
        </w:rPr>
        <w:fldChar w:fldCharType="separate"/>
      </w:r>
      <w:r w:rsidRPr="006E388F">
        <w:rPr>
          <w:rStyle w:val="Style14ptBoldKernat16pt"/>
          <w:rFonts w:asciiTheme="majorBidi" w:hAnsiTheme="majorBidi" w:cstheme="majorBidi"/>
          <w:bCs w:val="0"/>
          <w:color w:val="auto"/>
          <w:szCs w:val="24"/>
          <w:lang w:val="en-GB"/>
        </w:rPr>
        <w:t>Li et al. (2012)</w:t>
      </w:r>
      <w:r w:rsidRPr="006E388F">
        <w:rPr>
          <w:rStyle w:val="Style14ptBoldKernat16pt"/>
          <w:rFonts w:asciiTheme="majorBidi" w:hAnsiTheme="majorBidi" w:cstheme="majorBidi"/>
          <w:bCs w:val="0"/>
          <w:color w:val="auto"/>
          <w:szCs w:val="24"/>
          <w:lang w:val="en-GB"/>
        </w:rPr>
        <w:fldChar w:fldCharType="end"/>
      </w:r>
      <w:r w:rsidRPr="006E388F">
        <w:rPr>
          <w:rStyle w:val="Style14ptBoldKernat16pt"/>
          <w:rFonts w:asciiTheme="majorBidi" w:hAnsiTheme="majorBidi" w:cstheme="majorBidi"/>
          <w:bCs w:val="0"/>
          <w:color w:val="auto"/>
          <w:szCs w:val="24"/>
          <w:lang w:val="en-GB"/>
        </w:rPr>
        <w:t xml:space="preserve">, and Ariff, Badar, Shamser and Hassan (2011), especially in </w:t>
      </w:r>
      <w:r w:rsidRPr="006E388F">
        <w:rPr>
          <w:rStyle w:val="Style14ptBoldKernat16pt"/>
          <w:rFonts w:asciiTheme="majorBidi" w:hAnsiTheme="majorBidi" w:cstheme="majorBidi"/>
          <w:bCs w:val="0"/>
          <w:noProof/>
          <w:color w:val="auto"/>
          <w:szCs w:val="24"/>
          <w:lang w:val="en-GB"/>
        </w:rPr>
        <w:t>comparison</w:t>
      </w:r>
      <w:r w:rsidRPr="006E388F">
        <w:rPr>
          <w:rStyle w:val="Style14ptBoldKernat16pt"/>
          <w:rFonts w:asciiTheme="majorBidi" w:hAnsiTheme="majorBidi" w:cstheme="majorBidi"/>
          <w:bCs w:val="0"/>
          <w:color w:val="auto"/>
          <w:szCs w:val="24"/>
          <w:lang w:val="en-GB"/>
        </w:rPr>
        <w:t xml:space="preserve"> analysis.  </w:t>
      </w:r>
    </w:p>
    <w:p w:rsidR="00263A01" w:rsidRPr="006E388F" w:rsidRDefault="007E545B" w:rsidP="007F04E2">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H1</w:t>
      </w:r>
      <w:r w:rsidR="00E022E0">
        <w:rPr>
          <w:rFonts w:asciiTheme="majorBidi" w:hAnsiTheme="majorBidi" w:cstheme="majorBidi"/>
          <w:sz w:val="24"/>
          <w:szCs w:val="24"/>
          <w:lang w:val="en-GB"/>
        </w:rPr>
        <w:t xml:space="preserve">a outlined that CGM </w:t>
      </w:r>
      <w:r w:rsidR="00E022E0" w:rsidRPr="00EF0510">
        <w:rPr>
          <w:rFonts w:asciiTheme="majorBidi" w:hAnsiTheme="majorBidi" w:cstheme="majorBidi"/>
          <w:sz w:val="24"/>
          <w:szCs w:val="24"/>
          <w:lang w:val="en-GB"/>
        </w:rPr>
        <w:t>has</w:t>
      </w:r>
      <w:r w:rsidR="001B5A1F" w:rsidRPr="00EF0510">
        <w:rPr>
          <w:rFonts w:asciiTheme="majorBidi" w:hAnsiTheme="majorBidi" w:cstheme="majorBidi"/>
          <w:sz w:val="24"/>
          <w:szCs w:val="24"/>
          <w:lang w:val="en-GB"/>
        </w:rPr>
        <w:t xml:space="preserve"> a positive effect </w:t>
      </w:r>
      <w:r w:rsidR="00263A01" w:rsidRPr="00EF0510">
        <w:rPr>
          <w:rFonts w:asciiTheme="majorBidi" w:hAnsiTheme="majorBidi" w:cstheme="majorBidi"/>
          <w:sz w:val="24"/>
          <w:szCs w:val="24"/>
          <w:lang w:val="en-GB"/>
        </w:rPr>
        <w:t>on the ROE of Islamic banks (t-value = 2.582).  Hence, we accept H</w:t>
      </w:r>
      <w:r w:rsidRPr="00EF0510">
        <w:rPr>
          <w:rFonts w:asciiTheme="majorBidi" w:hAnsiTheme="majorBidi" w:cstheme="majorBidi"/>
          <w:sz w:val="24"/>
          <w:szCs w:val="24"/>
          <w:vertAlign w:val="subscript"/>
          <w:lang w:val="en-GB"/>
        </w:rPr>
        <w:t>1</w:t>
      </w:r>
      <w:r w:rsidR="00263A01" w:rsidRPr="00EF0510">
        <w:rPr>
          <w:rFonts w:asciiTheme="majorBidi" w:hAnsiTheme="majorBidi" w:cstheme="majorBidi"/>
          <w:sz w:val="24"/>
          <w:szCs w:val="24"/>
          <w:vertAlign w:val="subscript"/>
          <w:lang w:val="en-GB"/>
        </w:rPr>
        <w:t xml:space="preserve">a. </w:t>
      </w:r>
      <w:r w:rsidRPr="00EF0510">
        <w:rPr>
          <w:rFonts w:asciiTheme="majorBidi" w:hAnsiTheme="majorBidi" w:cstheme="majorBidi"/>
          <w:sz w:val="24"/>
          <w:szCs w:val="24"/>
          <w:lang w:val="en-GB"/>
        </w:rPr>
        <w:t>H1</w:t>
      </w:r>
      <w:r w:rsidR="00263A01" w:rsidRPr="00EF0510">
        <w:rPr>
          <w:rFonts w:asciiTheme="majorBidi" w:hAnsiTheme="majorBidi" w:cstheme="majorBidi"/>
          <w:sz w:val="24"/>
          <w:szCs w:val="24"/>
          <w:lang w:val="en-GB"/>
        </w:rPr>
        <w:t>b proposed that</w:t>
      </w:r>
      <w:r w:rsidR="001B5A1F" w:rsidRPr="00EF0510">
        <w:rPr>
          <w:rFonts w:asciiTheme="majorBidi" w:hAnsiTheme="majorBidi" w:cstheme="majorBidi"/>
          <w:sz w:val="24"/>
          <w:szCs w:val="24"/>
          <w:lang w:val="en-GB"/>
        </w:rPr>
        <w:t xml:space="preserve"> corporate governance mechanism</w:t>
      </w:r>
      <w:r w:rsidR="00263A01" w:rsidRPr="00EF0510">
        <w:rPr>
          <w:rFonts w:asciiTheme="majorBidi" w:hAnsiTheme="majorBidi" w:cstheme="majorBidi"/>
          <w:sz w:val="24"/>
          <w:szCs w:val="24"/>
          <w:lang w:val="en-GB"/>
        </w:rPr>
        <w:t xml:space="preserve"> </w:t>
      </w:r>
      <w:r w:rsidR="001B5A1F" w:rsidRPr="00EF0510">
        <w:rPr>
          <w:rFonts w:asciiTheme="majorBidi" w:hAnsiTheme="majorBidi" w:cstheme="majorBidi"/>
          <w:sz w:val="24"/>
          <w:szCs w:val="24"/>
          <w:lang w:val="en-GB"/>
        </w:rPr>
        <w:t>(CGM) has</w:t>
      </w:r>
      <w:r w:rsidR="00263A01" w:rsidRPr="00EF0510">
        <w:rPr>
          <w:rFonts w:asciiTheme="majorBidi" w:hAnsiTheme="majorBidi" w:cstheme="majorBidi"/>
          <w:sz w:val="24"/>
          <w:szCs w:val="24"/>
          <w:lang w:val="en-GB"/>
        </w:rPr>
        <w:t xml:space="preserve"> a significant influence on return on assets (ROA) (t = 1.940) in a one-tailed test (t &gt; 1.645).  Hence, H</w:t>
      </w:r>
      <w:r w:rsidRPr="00EF0510">
        <w:rPr>
          <w:rFonts w:asciiTheme="majorBidi" w:hAnsiTheme="majorBidi" w:cstheme="majorBidi"/>
          <w:sz w:val="24"/>
          <w:szCs w:val="24"/>
          <w:vertAlign w:val="subscript"/>
          <w:lang w:val="en-GB"/>
        </w:rPr>
        <w:t>1</w:t>
      </w:r>
      <w:r w:rsidR="00263A01" w:rsidRPr="00EF0510">
        <w:rPr>
          <w:rFonts w:asciiTheme="majorBidi" w:hAnsiTheme="majorBidi" w:cstheme="majorBidi"/>
          <w:sz w:val="24"/>
          <w:szCs w:val="24"/>
          <w:vertAlign w:val="subscript"/>
          <w:lang w:val="en-GB"/>
        </w:rPr>
        <w:t xml:space="preserve">b </w:t>
      </w:r>
      <w:r w:rsidR="00263A01" w:rsidRPr="00EF0510">
        <w:rPr>
          <w:rFonts w:asciiTheme="majorBidi" w:hAnsiTheme="majorBidi" w:cstheme="majorBidi"/>
          <w:sz w:val="24"/>
          <w:szCs w:val="24"/>
          <w:lang w:val="en-GB"/>
        </w:rPr>
        <w:t xml:space="preserve">is supported.  This result shows that CGM </w:t>
      </w:r>
      <w:r w:rsidR="00E022E0" w:rsidRPr="00EF0510">
        <w:rPr>
          <w:rFonts w:asciiTheme="majorBidi" w:hAnsiTheme="majorBidi" w:cstheme="majorBidi"/>
          <w:noProof/>
          <w:sz w:val="24"/>
          <w:szCs w:val="24"/>
          <w:lang w:val="en-GB"/>
        </w:rPr>
        <w:t>has</w:t>
      </w:r>
      <w:r w:rsidR="00263A01" w:rsidRPr="00EF0510">
        <w:rPr>
          <w:rFonts w:asciiTheme="majorBidi" w:hAnsiTheme="majorBidi" w:cstheme="majorBidi"/>
          <w:sz w:val="24"/>
          <w:szCs w:val="24"/>
          <w:lang w:val="en-GB"/>
        </w:rPr>
        <w:t xml:space="preserve"> a significant</w:t>
      </w:r>
      <w:r w:rsidR="00E022E0" w:rsidRPr="00EF0510">
        <w:rPr>
          <w:rFonts w:asciiTheme="majorBidi" w:hAnsiTheme="majorBidi" w:cstheme="majorBidi"/>
          <w:sz w:val="24"/>
          <w:szCs w:val="24"/>
          <w:lang w:val="en-GB"/>
        </w:rPr>
        <w:t xml:space="preserve"> influence on the ROA.  CGM has</w:t>
      </w:r>
      <w:r w:rsidR="00263A01" w:rsidRPr="00EF0510">
        <w:rPr>
          <w:rFonts w:asciiTheme="majorBidi" w:hAnsiTheme="majorBidi" w:cstheme="majorBidi"/>
          <w:sz w:val="24"/>
          <w:szCs w:val="24"/>
          <w:lang w:val="en-GB"/>
        </w:rPr>
        <w:t xml:space="preserve"> a significant influence on </w:t>
      </w:r>
      <w:r w:rsidR="00263A01" w:rsidRPr="00EF0510">
        <w:rPr>
          <w:rFonts w:asciiTheme="majorBidi" w:hAnsiTheme="majorBidi" w:cstheme="majorBidi"/>
          <w:noProof/>
          <w:sz w:val="24"/>
          <w:szCs w:val="24"/>
          <w:lang w:val="en-GB"/>
        </w:rPr>
        <w:t>CTI</w:t>
      </w:r>
      <w:r w:rsidR="00263A01" w:rsidRPr="00EF0510">
        <w:rPr>
          <w:rFonts w:asciiTheme="majorBidi" w:hAnsiTheme="majorBidi" w:cstheme="majorBidi"/>
          <w:sz w:val="24"/>
          <w:szCs w:val="24"/>
          <w:lang w:val="en-GB"/>
        </w:rPr>
        <w:t xml:space="preserve"> (t = 2.536) in a one-tailed test (t &gt; 1.645).  Hence, H</w:t>
      </w:r>
      <w:r w:rsidRPr="00EF0510">
        <w:rPr>
          <w:rFonts w:asciiTheme="majorBidi" w:hAnsiTheme="majorBidi" w:cstheme="majorBidi"/>
          <w:sz w:val="24"/>
          <w:szCs w:val="24"/>
          <w:vertAlign w:val="subscript"/>
          <w:lang w:val="en-GB"/>
        </w:rPr>
        <w:t>1</w:t>
      </w:r>
      <w:r w:rsidR="00263A01" w:rsidRPr="00EF0510">
        <w:rPr>
          <w:rFonts w:asciiTheme="majorBidi" w:hAnsiTheme="majorBidi" w:cstheme="majorBidi"/>
          <w:sz w:val="24"/>
          <w:szCs w:val="24"/>
          <w:vertAlign w:val="subscript"/>
          <w:lang w:val="en-GB"/>
        </w:rPr>
        <w:t xml:space="preserve">c </w:t>
      </w:r>
      <w:r w:rsidR="00263A01" w:rsidRPr="00EF0510">
        <w:rPr>
          <w:rFonts w:asciiTheme="majorBidi" w:hAnsiTheme="majorBidi" w:cstheme="majorBidi"/>
          <w:sz w:val="24"/>
          <w:szCs w:val="24"/>
          <w:lang w:val="en-GB"/>
        </w:rPr>
        <w:t xml:space="preserve">is supported. Overall, CGM has a </w:t>
      </w:r>
      <w:r w:rsidR="001B5A1F" w:rsidRPr="00EF0510">
        <w:rPr>
          <w:rFonts w:asciiTheme="majorBidi" w:hAnsiTheme="majorBidi" w:cstheme="majorBidi"/>
          <w:sz w:val="24"/>
          <w:szCs w:val="24"/>
          <w:lang w:val="en-GB"/>
        </w:rPr>
        <w:t xml:space="preserve">positive effect </w:t>
      </w:r>
      <w:r w:rsidR="00263A01" w:rsidRPr="00EF0510">
        <w:rPr>
          <w:rFonts w:asciiTheme="majorBidi" w:hAnsiTheme="majorBidi" w:cstheme="majorBidi"/>
          <w:sz w:val="24"/>
          <w:szCs w:val="24"/>
          <w:lang w:val="en-GB"/>
        </w:rPr>
        <w:t xml:space="preserve">on the </w:t>
      </w:r>
      <w:r w:rsidR="00263A01" w:rsidRPr="006E388F">
        <w:rPr>
          <w:rFonts w:asciiTheme="majorBidi" w:hAnsiTheme="majorBidi" w:cstheme="majorBidi"/>
          <w:sz w:val="24"/>
          <w:szCs w:val="24"/>
          <w:lang w:val="en-GB"/>
        </w:rPr>
        <w:t xml:space="preserve">financial performance of Islamic banks in Malaysia. </w:t>
      </w:r>
    </w:p>
    <w:p w:rsidR="00263A01" w:rsidRPr="006E388F" w:rsidRDefault="00263A01" w:rsidP="007F04E2">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 xml:space="preserve">This finding </w:t>
      </w:r>
      <w:r w:rsidR="00B06AE6" w:rsidRPr="006E388F">
        <w:rPr>
          <w:rFonts w:asciiTheme="majorBidi" w:hAnsiTheme="majorBidi" w:cstheme="majorBidi"/>
          <w:sz w:val="24"/>
          <w:szCs w:val="24"/>
          <w:lang w:val="en-GB"/>
        </w:rPr>
        <w:t>(H1</w:t>
      </w:r>
      <w:r w:rsidRPr="006E388F">
        <w:rPr>
          <w:rFonts w:asciiTheme="majorBidi" w:hAnsiTheme="majorBidi" w:cstheme="majorBidi"/>
          <w:sz w:val="24"/>
          <w:szCs w:val="24"/>
          <w:lang w:val="en-GB"/>
        </w:rPr>
        <w:t xml:space="preserve">) is aligned with what has been outlined by the majority of the rules and regulations in that by having an ideal board structure, Islamic banks would perform better in the financial performance. Prior studies, such as </w:t>
      </w:r>
      <w:r w:rsidRPr="006E388F">
        <w:rPr>
          <w:rFonts w:asciiTheme="majorBidi" w:hAnsiTheme="majorBidi" w:cstheme="majorBidi"/>
          <w:sz w:val="24"/>
          <w:szCs w:val="24"/>
          <w:lang w:val="en-GB"/>
        </w:rPr>
        <w:fldChar w:fldCharType="begin" w:fldLock="1"/>
      </w:r>
      <w:r w:rsidRPr="006E388F">
        <w:rPr>
          <w:rFonts w:asciiTheme="majorBidi" w:hAnsiTheme="majorBidi" w:cstheme="majorBidi"/>
          <w:sz w:val="24"/>
          <w:szCs w:val="24"/>
          <w:lang w:val="en-GB"/>
        </w:rPr>
        <w:instrText>ADDIN CSL_CITATION { "citationItems" : [ { "id" : "ITEM-1", "itemData" : { "DOI" : "10.1108/01409171311314978", "ISSN" : "2040-8269", "author" : [ { "dropping-particle" : "", "family" : "Rashid", "given" : "Mamunur", "non-dropping-particle" : "", "parse-names" : false, "suffix" : "" }, { "dropping-particle" : "", "family" : "Abdeljawad", "given" : "Islam", "non-dropping-particle" : "", "parse-names" : false, "suffix" : "" }, { "dropping-particle" : "", "family" : "Ngalim", "given" : "Siti Manisah", "non-dropping-particle" : "", "parse-names" : false, "suffix" : "" }, { "dropping-particle" : "", "family" : "Hassan", "given" : "M. Kabir", "non-dropping-particle" : "", "parse-names" : false, "suffix" : "" } ], "container-title" : "Management Research Review", "id" : "ITEM-1", "issue" : "4", "issued" : { "date-parts" : [ [ "2013" ] ] }, "page" : "359-378", "title" : "Customer\u2010centric corporate social responsibility: A Framework for Islamic banks on ethical efficiency", "type" : "article-journal", "volume" : "36" }, "uris" : [ "http://www.mendeley.com/documents/?uuid=a081a6c2-8056-4941-ae58-913623fa4c0d" ] } ], "mendeley" : { "formattedCitation" : "(Rashid et al., 2013)", "manualFormatting" : "Rashid et al. (2013)", "plainTextFormattedCitation" : "(Rashid et al., 2013)", "previouslyFormattedCitation" : "(Rashid et al., 2013)" }, "properties" : { "noteIndex" : 0 }, "schema" : "https://github.com/citation-style-language/schema/raw/master/csl-citation.json" }</w:instrText>
      </w:r>
      <w:r w:rsidRPr="006E388F">
        <w:rPr>
          <w:rFonts w:asciiTheme="majorBidi" w:hAnsiTheme="majorBidi" w:cstheme="majorBidi"/>
          <w:sz w:val="24"/>
          <w:szCs w:val="24"/>
          <w:lang w:val="en-GB"/>
        </w:rPr>
        <w:fldChar w:fldCharType="separate"/>
      </w:r>
      <w:r w:rsidRPr="006E388F">
        <w:rPr>
          <w:rFonts w:asciiTheme="majorBidi" w:hAnsiTheme="majorBidi" w:cstheme="majorBidi"/>
          <w:sz w:val="24"/>
          <w:szCs w:val="24"/>
          <w:lang w:val="en-GB"/>
        </w:rPr>
        <w:t>Rashid et al. (2013)</w:t>
      </w:r>
      <w:r w:rsidRPr="006E388F">
        <w:rPr>
          <w:rFonts w:asciiTheme="majorBidi" w:hAnsiTheme="majorBidi" w:cstheme="majorBidi"/>
          <w:sz w:val="24"/>
          <w:szCs w:val="24"/>
          <w:lang w:val="en-GB"/>
        </w:rPr>
        <w:fldChar w:fldCharType="end"/>
      </w:r>
      <w:r w:rsidRPr="006E388F">
        <w:rPr>
          <w:rFonts w:asciiTheme="majorBidi" w:hAnsiTheme="majorBidi" w:cstheme="majorBidi"/>
          <w:color w:val="FF0000"/>
          <w:sz w:val="24"/>
          <w:szCs w:val="24"/>
          <w:lang w:val="en-GB"/>
        </w:rPr>
        <w:t xml:space="preserve"> </w:t>
      </w:r>
      <w:r w:rsidRPr="006E388F">
        <w:rPr>
          <w:rFonts w:asciiTheme="majorBidi" w:hAnsiTheme="majorBidi" w:cstheme="majorBidi"/>
          <w:sz w:val="24"/>
          <w:szCs w:val="24"/>
          <w:lang w:val="en-GB"/>
        </w:rPr>
        <w:t xml:space="preserve">have ascertained that business operations, </w:t>
      </w:r>
      <w:r w:rsidRPr="006E388F">
        <w:rPr>
          <w:rFonts w:asciiTheme="majorBidi" w:hAnsiTheme="majorBidi" w:cstheme="majorBidi"/>
          <w:noProof/>
          <w:sz w:val="24"/>
          <w:szCs w:val="24"/>
          <w:lang w:val="en-GB"/>
        </w:rPr>
        <w:t>processes</w:t>
      </w:r>
      <w:r w:rsidRPr="006E388F">
        <w:rPr>
          <w:rFonts w:asciiTheme="majorBidi" w:hAnsiTheme="majorBidi" w:cstheme="majorBidi"/>
          <w:sz w:val="24"/>
          <w:szCs w:val="24"/>
          <w:lang w:val="en-GB"/>
        </w:rPr>
        <w:t xml:space="preserve"> and activities are under the direction of their board and top management. These findings are consistent with previous studies (Al-Saidi and Al-Shammari, 2013; Adam and Mehran, 2012; Zagorchev and Gao, 2015; Belkhir, 2009; Andress and </w:t>
      </w:r>
      <w:r w:rsidRPr="006E388F">
        <w:rPr>
          <w:rFonts w:asciiTheme="majorBidi" w:hAnsiTheme="majorBidi" w:cstheme="majorBidi"/>
          <w:sz w:val="24"/>
          <w:szCs w:val="24"/>
          <w:lang w:val="en-GB"/>
        </w:rPr>
        <w:lastRenderedPageBreak/>
        <w:t xml:space="preserve">Vallelado, 2008; Cole, 2008; Haniffa and Hudaib, 2006; Belkhir, 2009; Mahmood and Abbas, 2011; Pearce and Zahra, 1992; Jensen, 1986).  </w:t>
      </w:r>
    </w:p>
    <w:p w:rsidR="00263A01" w:rsidRPr="006E388F" w:rsidRDefault="007F04E2" w:rsidP="006E388F">
      <w:pPr>
        <w:pStyle w:val="BodyTextFirstIndent"/>
        <w:spacing w:line="240" w:lineRule="auto"/>
        <w:ind w:firstLine="0"/>
        <w:jc w:val="both"/>
        <w:rPr>
          <w:rFonts w:asciiTheme="majorBidi" w:hAnsiTheme="majorBidi" w:cstheme="majorBidi"/>
          <w:sz w:val="24"/>
          <w:szCs w:val="24"/>
          <w:lang w:val="en-GB"/>
        </w:rPr>
      </w:pPr>
      <w:r>
        <w:rPr>
          <w:rFonts w:asciiTheme="majorBidi" w:hAnsiTheme="majorBidi" w:cstheme="majorBidi"/>
          <w:sz w:val="24"/>
          <w:szCs w:val="24"/>
          <w:lang w:val="en-GB"/>
        </w:rPr>
        <w:tab/>
      </w:r>
      <w:r w:rsidR="00263A01" w:rsidRPr="006E388F">
        <w:rPr>
          <w:rFonts w:asciiTheme="majorBidi" w:hAnsiTheme="majorBidi" w:cstheme="majorBidi"/>
          <w:sz w:val="24"/>
          <w:szCs w:val="24"/>
          <w:lang w:val="en-GB"/>
        </w:rPr>
        <w:fldChar w:fldCharType="begin" w:fldLock="1"/>
      </w:r>
      <w:r w:rsidR="00263A01" w:rsidRPr="006E388F">
        <w:rPr>
          <w:rFonts w:asciiTheme="majorBidi" w:hAnsiTheme="majorBidi" w:cstheme="majorBidi"/>
          <w:sz w:val="24"/>
          <w:szCs w:val="24"/>
          <w:lang w:val="en-GB"/>
        </w:rPr>
        <w:instrText>ADDIN CSL_CITATION { "citationItems" : [ { "id" : "ITEM-1", "itemData" : { "author" : [ { "dropping-particle" : "", "family" : "Abdullah", "given" : "S.N.", "non-dropping-particle" : "", "parse-names" : false, "suffix" : "" } ], "id" : "ITEM-1", "issue" : "4", "issued" : { "date-parts" : [ [ "2004" ] ] }, "page" : "47-61", "title" : "Board composition, CEO duality and performance among Malaysian listed companies. Corporate Governance", "type" : "article-journal", "volume" : "4" }, "uris" : [ "http://www.mendeley.com/documents/?uuid=ff6eb9d9-f9f4-4e8c-b2f6-26acf4ed0a44" ] } ], "mendeley" : { "formattedCitation" : "(Abdullah, 2004)", "manualFormatting" : "Abdullah (2004)", "plainTextFormattedCitation" : "(Abdullah, 2004)", "previouslyFormattedCitation" : "(Abdullah, 2004)" }, "properties" : { "noteIndex" : 0 }, "schema" : "https://github.com/citation-style-language/schema/raw/master/csl-citation.json" }</w:instrText>
      </w:r>
      <w:r w:rsidR="00263A01" w:rsidRPr="006E388F">
        <w:rPr>
          <w:rFonts w:asciiTheme="majorBidi" w:hAnsiTheme="majorBidi" w:cstheme="majorBidi"/>
          <w:sz w:val="24"/>
          <w:szCs w:val="24"/>
          <w:lang w:val="en-GB"/>
        </w:rPr>
        <w:fldChar w:fldCharType="separate"/>
      </w:r>
      <w:r w:rsidR="00263A01" w:rsidRPr="006E388F">
        <w:rPr>
          <w:rFonts w:asciiTheme="majorBidi" w:hAnsiTheme="majorBidi" w:cstheme="majorBidi"/>
          <w:sz w:val="24"/>
          <w:szCs w:val="24"/>
          <w:lang w:val="en-GB"/>
        </w:rPr>
        <w:t>Abdullah (2004)</w:t>
      </w:r>
      <w:r w:rsidR="00263A01" w:rsidRPr="006E388F">
        <w:rPr>
          <w:rFonts w:asciiTheme="majorBidi" w:hAnsiTheme="majorBidi" w:cstheme="majorBidi"/>
          <w:sz w:val="24"/>
          <w:szCs w:val="24"/>
          <w:lang w:val="en-GB"/>
        </w:rPr>
        <w:fldChar w:fldCharType="end"/>
      </w:r>
      <w:r w:rsidR="00263A01" w:rsidRPr="006E388F">
        <w:rPr>
          <w:rFonts w:asciiTheme="majorBidi" w:hAnsiTheme="majorBidi" w:cstheme="majorBidi"/>
          <w:sz w:val="24"/>
          <w:szCs w:val="24"/>
          <w:lang w:val="en-GB"/>
        </w:rPr>
        <w:t xml:space="preserve"> has highlighted that the board of directors plays a crucial role in the business operations, the process and the activities in a company.  It oversees top management and is entrusted with the responsibility of monitoring and supervising the company’s resources and operations.  Therefore, the board is collectively seen as a team of individuals with the fiduciary responsibilities of leading and directing a firm, with the primary objective of protecting the firm’s shareholders’ interests.  Also, as emphasized by </w:t>
      </w:r>
      <w:r w:rsidR="00263A01" w:rsidRPr="006E388F">
        <w:rPr>
          <w:rFonts w:asciiTheme="majorBidi" w:hAnsiTheme="majorBidi" w:cstheme="majorBidi"/>
          <w:sz w:val="24"/>
          <w:szCs w:val="24"/>
          <w:lang w:val="en-GB"/>
        </w:rPr>
        <w:fldChar w:fldCharType="begin" w:fldLock="1"/>
      </w:r>
      <w:r w:rsidR="00263A01" w:rsidRPr="006E388F">
        <w:rPr>
          <w:rFonts w:asciiTheme="majorBidi" w:hAnsiTheme="majorBidi" w:cstheme="majorBidi"/>
          <w:sz w:val="24"/>
          <w:szCs w:val="24"/>
          <w:lang w:val="en-GB"/>
        </w:rPr>
        <w:instrText>ADDIN CSL_CITATION { "citationItems" : [ { "id" : "ITEM-1", "itemData" : { "author" : [ { "dropping-particle" : "", "family" : "Pandya", "given" : "Hemal", "non-dropping-particle" : "", "parse-names" : false, "suffix" : "" } ], "container-title" : "Journal of Management &amp; Public Policy", "id" : "ITEM-1", "issue" : "2", "issued" : { "date-parts" : [ [ "2011" ] ] }, "page" : "4-22", "title" : "Corporate Governance Structures and Financial Performance of Selected Indian Banks", "type" : "article-journal", "volume" : "2" }, "uris" : [ "http://www.mendeley.com/documents/?uuid=9e7042f6-bc52-4436-9248-c9ecc76db0f5" ] } ], "mendeley" : { "formattedCitation" : "(Pandya, 2011)", "manualFormatting" : "Pandya (2011)", "plainTextFormattedCitation" : "(Pandya, 2011)", "previouslyFormattedCitation" : "(Pandya, 2011)" }, "properties" : { "noteIndex" : 0 }, "schema" : "https://github.com/citation-style-language/schema/raw/master/csl-citation.json" }</w:instrText>
      </w:r>
      <w:r w:rsidR="00263A01" w:rsidRPr="006E388F">
        <w:rPr>
          <w:rFonts w:asciiTheme="majorBidi" w:hAnsiTheme="majorBidi" w:cstheme="majorBidi"/>
          <w:sz w:val="24"/>
          <w:szCs w:val="24"/>
          <w:lang w:val="en-GB"/>
        </w:rPr>
        <w:fldChar w:fldCharType="separate"/>
      </w:r>
      <w:r w:rsidR="00263A01" w:rsidRPr="006E388F">
        <w:rPr>
          <w:rFonts w:asciiTheme="majorBidi" w:hAnsiTheme="majorBidi" w:cstheme="majorBidi"/>
          <w:sz w:val="24"/>
          <w:szCs w:val="24"/>
          <w:lang w:val="en-GB"/>
        </w:rPr>
        <w:t>Pandya (2011)</w:t>
      </w:r>
      <w:r w:rsidR="00263A01" w:rsidRPr="006E388F">
        <w:rPr>
          <w:rFonts w:asciiTheme="majorBidi" w:hAnsiTheme="majorBidi" w:cstheme="majorBidi"/>
          <w:sz w:val="24"/>
          <w:szCs w:val="24"/>
          <w:lang w:val="en-GB"/>
        </w:rPr>
        <w:fldChar w:fldCharType="end"/>
      </w:r>
      <w:r w:rsidR="00263A01" w:rsidRPr="006E388F">
        <w:rPr>
          <w:rFonts w:asciiTheme="majorBidi" w:hAnsiTheme="majorBidi" w:cstheme="majorBidi"/>
          <w:sz w:val="24"/>
          <w:szCs w:val="24"/>
          <w:lang w:val="en-GB"/>
        </w:rPr>
        <w:t xml:space="preserve">, the key aspects of good corporate governance </w:t>
      </w:r>
      <w:r w:rsidR="00263A01" w:rsidRPr="006E388F">
        <w:rPr>
          <w:rFonts w:asciiTheme="majorBidi" w:hAnsiTheme="majorBidi" w:cstheme="majorBidi"/>
          <w:noProof/>
          <w:sz w:val="24"/>
          <w:szCs w:val="24"/>
          <w:lang w:val="en-GB"/>
        </w:rPr>
        <w:t>cover</w:t>
      </w:r>
      <w:r w:rsidR="00263A01" w:rsidRPr="006E388F">
        <w:rPr>
          <w:rFonts w:asciiTheme="majorBidi" w:hAnsiTheme="majorBidi" w:cstheme="majorBidi"/>
          <w:sz w:val="24"/>
          <w:szCs w:val="24"/>
          <w:lang w:val="en-GB"/>
        </w:rPr>
        <w:t xml:space="preserve"> the accountability of managers and the boards </w:t>
      </w:r>
      <w:r w:rsidR="00263A01" w:rsidRPr="006E388F">
        <w:rPr>
          <w:rFonts w:asciiTheme="majorBidi" w:hAnsiTheme="majorBidi" w:cstheme="majorBidi"/>
          <w:noProof/>
          <w:sz w:val="24"/>
          <w:szCs w:val="24"/>
          <w:lang w:val="en-GB"/>
        </w:rPr>
        <w:t>to</w:t>
      </w:r>
      <w:r w:rsidR="00263A01" w:rsidRPr="006E388F">
        <w:rPr>
          <w:rFonts w:asciiTheme="majorBidi" w:hAnsiTheme="majorBidi" w:cstheme="majorBidi"/>
          <w:sz w:val="24"/>
          <w:szCs w:val="24"/>
          <w:lang w:val="en-GB"/>
        </w:rPr>
        <w:t xml:space="preserve"> shareholders and corporate respon</w:t>
      </w:r>
      <w:r w:rsidR="00556A6F">
        <w:rPr>
          <w:rFonts w:asciiTheme="majorBidi" w:hAnsiTheme="majorBidi" w:cstheme="majorBidi"/>
          <w:sz w:val="24"/>
          <w:szCs w:val="24"/>
          <w:lang w:val="en-GB"/>
        </w:rPr>
        <w:t xml:space="preserve">sibility towards stakeholders. </w:t>
      </w:r>
      <w:r w:rsidR="00263A01" w:rsidRPr="006E388F">
        <w:rPr>
          <w:rFonts w:asciiTheme="majorBidi" w:hAnsiTheme="majorBidi" w:cstheme="majorBidi"/>
          <w:sz w:val="24"/>
          <w:szCs w:val="24"/>
          <w:lang w:val="en-GB"/>
        </w:rPr>
        <w:t xml:space="preserve">Hermalin and Weisbach (2003) describe BOD as the heart of governance.  </w:t>
      </w:r>
    </w:p>
    <w:p w:rsidR="00263A01" w:rsidRPr="006E388F" w:rsidRDefault="00263A01" w:rsidP="007F04E2">
      <w:pPr>
        <w:pStyle w:val="BodyTextFirstIndent"/>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The MCCG (2000, revis</w:t>
      </w:r>
      <w:r w:rsidR="00B06AE6" w:rsidRPr="006E388F">
        <w:rPr>
          <w:rFonts w:asciiTheme="majorBidi" w:hAnsiTheme="majorBidi" w:cstheme="majorBidi"/>
          <w:sz w:val="24"/>
          <w:szCs w:val="24"/>
          <w:lang w:val="en-GB"/>
        </w:rPr>
        <w:t xml:space="preserve">ed 2007, 2012 </w:t>
      </w:r>
      <w:r w:rsidRPr="006E388F">
        <w:rPr>
          <w:rFonts w:asciiTheme="majorBidi" w:hAnsiTheme="majorBidi" w:cstheme="majorBidi"/>
          <w:sz w:val="24"/>
          <w:szCs w:val="24"/>
          <w:lang w:val="en-GB"/>
        </w:rPr>
        <w:t xml:space="preserve">and 2017) provide guidelines to the boards to improve their accountability to shareholders and supervision of the management team.  An effective board structure is a primary determinant/signal of strong board monitoring and control, and corporate governance as a whole.  Moreover, boards that can provide independent monitoring and control of management are better able to protect shareholders against opportunistic top management </w:t>
      </w:r>
      <w:r w:rsidR="00176589" w:rsidRPr="006E388F">
        <w:rPr>
          <w:rFonts w:asciiTheme="majorBidi" w:hAnsiTheme="majorBidi" w:cstheme="majorBidi"/>
          <w:sz w:val="24"/>
          <w:szCs w:val="24"/>
          <w:lang w:val="en-GB"/>
        </w:rPr>
        <w:t>behaviour</w:t>
      </w:r>
      <w:r w:rsidRPr="006E388F">
        <w:rPr>
          <w:rFonts w:asciiTheme="majorBidi" w:hAnsiTheme="majorBidi" w:cstheme="majorBidi"/>
          <w:sz w:val="24"/>
          <w:szCs w:val="24"/>
          <w:lang w:val="en-GB"/>
        </w:rPr>
        <w:t xml:space="preserve">.  Hence, CGM, represented by board size, the proportion of non-executive directors, board competency and board meetings are crucial in predicting financial performance, i.e., ROE, </w:t>
      </w:r>
      <w:r w:rsidRPr="006E388F">
        <w:rPr>
          <w:rFonts w:asciiTheme="majorBidi" w:hAnsiTheme="majorBidi" w:cstheme="majorBidi"/>
          <w:noProof/>
          <w:sz w:val="24"/>
          <w:szCs w:val="24"/>
          <w:lang w:val="en-GB"/>
        </w:rPr>
        <w:t>ROA,</w:t>
      </w:r>
      <w:r w:rsidRPr="006E388F">
        <w:rPr>
          <w:rFonts w:asciiTheme="majorBidi" w:hAnsiTheme="majorBidi" w:cstheme="majorBidi"/>
          <w:sz w:val="24"/>
          <w:szCs w:val="24"/>
          <w:lang w:val="en-GB"/>
        </w:rPr>
        <w:t xml:space="preserve"> and </w:t>
      </w:r>
      <w:r w:rsidRPr="006E388F">
        <w:rPr>
          <w:rFonts w:asciiTheme="majorBidi" w:hAnsiTheme="majorBidi" w:cstheme="majorBidi"/>
          <w:noProof/>
          <w:sz w:val="24"/>
          <w:szCs w:val="24"/>
          <w:lang w:val="en-GB"/>
        </w:rPr>
        <w:t>CTI</w:t>
      </w:r>
      <w:r w:rsidRPr="006E388F">
        <w:rPr>
          <w:rFonts w:asciiTheme="majorBidi" w:hAnsiTheme="majorBidi" w:cstheme="majorBidi"/>
          <w:sz w:val="24"/>
          <w:szCs w:val="24"/>
          <w:lang w:val="en-GB"/>
        </w:rPr>
        <w:t>.</w:t>
      </w:r>
      <w:bookmarkStart w:id="12" w:name="_Toc443252984"/>
      <w:bookmarkEnd w:id="12"/>
      <w:r w:rsidRPr="006E388F">
        <w:rPr>
          <w:rFonts w:asciiTheme="majorBidi" w:hAnsiTheme="majorBidi" w:cstheme="majorBidi"/>
          <w:sz w:val="24"/>
          <w:szCs w:val="24"/>
          <w:lang w:val="en-GB"/>
        </w:rPr>
        <w:t xml:space="preserve">  </w:t>
      </w:r>
    </w:p>
    <w:p w:rsidR="00263A01" w:rsidRPr="006E388F" w:rsidRDefault="00263A01" w:rsidP="007F04E2">
      <w:pPr>
        <w:spacing w:line="240" w:lineRule="auto"/>
        <w:ind w:firstLine="720"/>
        <w:jc w:val="both"/>
        <w:rPr>
          <w:rFonts w:asciiTheme="majorBidi" w:hAnsiTheme="majorBidi" w:cstheme="majorBidi"/>
          <w:sz w:val="24"/>
          <w:szCs w:val="24"/>
          <w:lang w:val="en-GB"/>
        </w:rPr>
      </w:pPr>
      <w:r w:rsidRPr="006E388F">
        <w:rPr>
          <w:rFonts w:asciiTheme="majorBidi" w:hAnsiTheme="majorBidi" w:cstheme="majorBidi"/>
          <w:sz w:val="24"/>
          <w:szCs w:val="24"/>
          <w:lang w:val="en-GB"/>
        </w:rPr>
        <w:t>H</w:t>
      </w:r>
      <w:r w:rsidR="00FF7A56" w:rsidRPr="006E388F">
        <w:rPr>
          <w:rFonts w:asciiTheme="majorBidi" w:hAnsiTheme="majorBidi" w:cstheme="majorBidi"/>
          <w:sz w:val="24"/>
          <w:szCs w:val="24"/>
          <w:vertAlign w:val="subscript"/>
          <w:lang w:val="en-GB"/>
        </w:rPr>
        <w:t>2</w:t>
      </w:r>
      <w:r w:rsidRPr="006E388F">
        <w:rPr>
          <w:rFonts w:asciiTheme="majorBidi" w:hAnsiTheme="majorBidi" w:cstheme="majorBidi"/>
          <w:sz w:val="24"/>
          <w:szCs w:val="24"/>
          <w:vertAlign w:val="subscript"/>
          <w:lang w:val="en-GB"/>
        </w:rPr>
        <w:t xml:space="preserve">a </w:t>
      </w:r>
      <w:r w:rsidRPr="006E388F">
        <w:rPr>
          <w:rFonts w:asciiTheme="majorBidi" w:hAnsiTheme="majorBidi" w:cstheme="majorBidi"/>
          <w:sz w:val="24"/>
          <w:szCs w:val="24"/>
          <w:lang w:val="en-GB"/>
        </w:rPr>
        <w:t>and H</w:t>
      </w:r>
      <w:r w:rsidR="00FF7A56" w:rsidRPr="006E388F">
        <w:rPr>
          <w:rFonts w:asciiTheme="majorBidi" w:hAnsiTheme="majorBidi" w:cstheme="majorBidi"/>
          <w:sz w:val="24"/>
          <w:szCs w:val="24"/>
          <w:vertAlign w:val="subscript"/>
          <w:lang w:val="en-GB"/>
        </w:rPr>
        <w:t>2</w:t>
      </w:r>
      <w:r w:rsidRPr="006E388F">
        <w:rPr>
          <w:rFonts w:asciiTheme="majorBidi" w:hAnsiTheme="majorBidi" w:cstheme="majorBidi"/>
          <w:sz w:val="24"/>
          <w:szCs w:val="24"/>
          <w:vertAlign w:val="subscript"/>
          <w:lang w:val="en-GB"/>
        </w:rPr>
        <w:t xml:space="preserve">b </w:t>
      </w:r>
      <w:r w:rsidRPr="006E388F">
        <w:rPr>
          <w:rFonts w:asciiTheme="majorBidi" w:hAnsiTheme="majorBidi" w:cstheme="majorBidi"/>
          <w:sz w:val="24"/>
          <w:szCs w:val="24"/>
          <w:lang w:val="en-GB"/>
        </w:rPr>
        <w:t>are also s</w:t>
      </w:r>
      <w:r w:rsidR="00803ABB">
        <w:rPr>
          <w:rFonts w:asciiTheme="majorBidi" w:hAnsiTheme="majorBidi" w:cstheme="majorBidi"/>
          <w:sz w:val="24"/>
          <w:szCs w:val="24"/>
          <w:lang w:val="en-GB"/>
        </w:rPr>
        <w:t>upported on the basis that SGM show</w:t>
      </w:r>
      <w:r w:rsidR="00E022E0">
        <w:rPr>
          <w:rFonts w:asciiTheme="majorBidi" w:hAnsiTheme="majorBidi" w:cstheme="majorBidi"/>
          <w:sz w:val="24"/>
          <w:szCs w:val="24"/>
          <w:lang w:val="en-GB"/>
        </w:rPr>
        <w:t>s</w:t>
      </w:r>
      <w:r w:rsidR="00803ABB">
        <w:rPr>
          <w:rFonts w:asciiTheme="majorBidi" w:hAnsiTheme="majorBidi" w:cstheme="majorBidi"/>
          <w:sz w:val="24"/>
          <w:szCs w:val="24"/>
          <w:lang w:val="en-GB"/>
        </w:rPr>
        <w:t xml:space="preserve"> to be </w:t>
      </w:r>
      <w:r w:rsidRPr="006E388F">
        <w:rPr>
          <w:rFonts w:asciiTheme="majorBidi" w:hAnsiTheme="majorBidi" w:cstheme="majorBidi"/>
          <w:sz w:val="24"/>
          <w:szCs w:val="24"/>
          <w:lang w:val="en-GB"/>
        </w:rPr>
        <w:t>a significant predictor for ROE and ROA for Islamic banks in Malaysia (t-value = 2.748 and 1.988, respectively); thus, H</w:t>
      </w:r>
      <w:r w:rsidR="00FF7A56" w:rsidRPr="006E388F">
        <w:rPr>
          <w:rFonts w:asciiTheme="majorBidi" w:hAnsiTheme="majorBidi" w:cstheme="majorBidi"/>
          <w:sz w:val="24"/>
          <w:szCs w:val="24"/>
          <w:vertAlign w:val="subscript"/>
          <w:lang w:val="en-GB"/>
        </w:rPr>
        <w:t>2</w:t>
      </w:r>
      <w:r w:rsidRPr="006E388F">
        <w:rPr>
          <w:rFonts w:asciiTheme="majorBidi" w:hAnsiTheme="majorBidi" w:cstheme="majorBidi"/>
          <w:sz w:val="24"/>
          <w:szCs w:val="24"/>
          <w:vertAlign w:val="subscript"/>
          <w:lang w:val="en-GB"/>
        </w:rPr>
        <w:t xml:space="preserve">a </w:t>
      </w:r>
      <w:r w:rsidRPr="006E388F">
        <w:rPr>
          <w:rFonts w:asciiTheme="majorBidi" w:hAnsiTheme="majorBidi" w:cstheme="majorBidi"/>
          <w:sz w:val="24"/>
          <w:szCs w:val="24"/>
          <w:lang w:val="en-GB"/>
        </w:rPr>
        <w:t>and H</w:t>
      </w:r>
      <w:r w:rsidR="00FF7A56" w:rsidRPr="006E388F">
        <w:rPr>
          <w:rFonts w:asciiTheme="majorBidi" w:hAnsiTheme="majorBidi" w:cstheme="majorBidi"/>
          <w:sz w:val="24"/>
          <w:szCs w:val="24"/>
          <w:vertAlign w:val="subscript"/>
          <w:lang w:val="en-GB"/>
        </w:rPr>
        <w:t>2</w:t>
      </w:r>
      <w:r w:rsidRPr="006E388F">
        <w:rPr>
          <w:rFonts w:asciiTheme="majorBidi" w:hAnsiTheme="majorBidi" w:cstheme="majorBidi"/>
          <w:sz w:val="24"/>
          <w:szCs w:val="24"/>
          <w:vertAlign w:val="subscript"/>
          <w:lang w:val="en-GB"/>
        </w:rPr>
        <w:t xml:space="preserve">b </w:t>
      </w:r>
      <w:r w:rsidRPr="006E388F">
        <w:rPr>
          <w:rFonts w:asciiTheme="majorBidi" w:hAnsiTheme="majorBidi" w:cstheme="majorBidi"/>
          <w:sz w:val="24"/>
          <w:szCs w:val="24"/>
          <w:lang w:val="en-GB"/>
        </w:rPr>
        <w:t>are s</w:t>
      </w:r>
      <w:r w:rsidR="00803ABB">
        <w:rPr>
          <w:rFonts w:asciiTheme="majorBidi" w:hAnsiTheme="majorBidi" w:cstheme="majorBidi"/>
          <w:sz w:val="24"/>
          <w:szCs w:val="24"/>
          <w:lang w:val="en-GB"/>
        </w:rPr>
        <w:t>u</w:t>
      </w:r>
      <w:r w:rsidR="00E022E0">
        <w:rPr>
          <w:rFonts w:asciiTheme="majorBidi" w:hAnsiTheme="majorBidi" w:cstheme="majorBidi"/>
          <w:sz w:val="24"/>
          <w:szCs w:val="24"/>
          <w:lang w:val="en-GB"/>
        </w:rPr>
        <w:t xml:space="preserve">pported.  Nevertheless, SGM </w:t>
      </w:r>
      <w:r w:rsidR="00E022E0" w:rsidRPr="00EF0510">
        <w:rPr>
          <w:rFonts w:asciiTheme="majorBidi" w:hAnsiTheme="majorBidi" w:cstheme="majorBidi"/>
          <w:sz w:val="24"/>
          <w:szCs w:val="24"/>
          <w:lang w:val="en-GB"/>
        </w:rPr>
        <w:t>has</w:t>
      </w:r>
      <w:r w:rsidRPr="00EF0510">
        <w:rPr>
          <w:rFonts w:asciiTheme="majorBidi" w:hAnsiTheme="majorBidi" w:cstheme="majorBidi"/>
          <w:sz w:val="24"/>
          <w:szCs w:val="24"/>
          <w:lang w:val="en-GB"/>
        </w:rPr>
        <w:t xml:space="preserve"> no </w:t>
      </w:r>
      <w:r w:rsidR="001B5A1F" w:rsidRPr="00EF0510">
        <w:rPr>
          <w:rFonts w:asciiTheme="majorBidi" w:hAnsiTheme="majorBidi" w:cstheme="majorBidi"/>
          <w:sz w:val="24"/>
          <w:szCs w:val="24"/>
          <w:lang w:val="en-GB"/>
        </w:rPr>
        <w:t xml:space="preserve">effect </w:t>
      </w:r>
      <w:r w:rsidRPr="00EF0510">
        <w:rPr>
          <w:rFonts w:asciiTheme="majorBidi" w:hAnsiTheme="majorBidi" w:cstheme="majorBidi"/>
          <w:sz w:val="24"/>
          <w:szCs w:val="24"/>
          <w:lang w:val="en-GB"/>
        </w:rPr>
        <w:t xml:space="preserve">on </w:t>
      </w:r>
      <w:r w:rsidRPr="00EF0510">
        <w:rPr>
          <w:rFonts w:asciiTheme="majorBidi" w:hAnsiTheme="majorBidi" w:cstheme="majorBidi"/>
          <w:noProof/>
          <w:sz w:val="24"/>
          <w:szCs w:val="24"/>
          <w:lang w:val="en-GB"/>
        </w:rPr>
        <w:t>CTI</w:t>
      </w:r>
      <w:r w:rsidRPr="00EF0510">
        <w:rPr>
          <w:rFonts w:asciiTheme="majorBidi" w:hAnsiTheme="majorBidi" w:cstheme="majorBidi"/>
          <w:sz w:val="24"/>
          <w:szCs w:val="24"/>
          <w:lang w:val="en-GB"/>
        </w:rPr>
        <w:t xml:space="preserve"> as the t-value is 1.043 in a one-tailed test (t &gt; 1.645).  Hence, H</w:t>
      </w:r>
      <w:r w:rsidR="00FF7A56" w:rsidRPr="00EF0510">
        <w:rPr>
          <w:rFonts w:asciiTheme="majorBidi" w:hAnsiTheme="majorBidi" w:cstheme="majorBidi"/>
          <w:sz w:val="24"/>
          <w:szCs w:val="24"/>
          <w:vertAlign w:val="subscript"/>
          <w:lang w:val="en-GB"/>
        </w:rPr>
        <w:t>1</w:t>
      </w:r>
      <w:r w:rsidRPr="00EF0510">
        <w:rPr>
          <w:rFonts w:asciiTheme="majorBidi" w:hAnsiTheme="majorBidi" w:cstheme="majorBidi"/>
          <w:sz w:val="24"/>
          <w:szCs w:val="24"/>
          <w:vertAlign w:val="subscript"/>
          <w:lang w:val="en-GB"/>
        </w:rPr>
        <w:t xml:space="preserve">c </w:t>
      </w:r>
      <w:r w:rsidRPr="00EF0510">
        <w:rPr>
          <w:rFonts w:asciiTheme="majorBidi" w:hAnsiTheme="majorBidi" w:cstheme="majorBidi"/>
          <w:sz w:val="24"/>
          <w:szCs w:val="24"/>
          <w:lang w:val="en-GB"/>
        </w:rPr>
        <w:t>is not supp</w:t>
      </w:r>
      <w:r w:rsidR="00FF7A56" w:rsidRPr="00EF0510">
        <w:rPr>
          <w:rFonts w:asciiTheme="majorBidi" w:hAnsiTheme="majorBidi" w:cstheme="majorBidi"/>
          <w:sz w:val="24"/>
          <w:szCs w:val="24"/>
          <w:lang w:val="en-GB"/>
        </w:rPr>
        <w:t>orted.  As a whole, we accept H2</w:t>
      </w:r>
      <w:r w:rsidRPr="00EF0510">
        <w:rPr>
          <w:rFonts w:asciiTheme="majorBidi" w:hAnsiTheme="majorBidi" w:cstheme="majorBidi"/>
          <w:sz w:val="24"/>
          <w:szCs w:val="24"/>
          <w:lang w:val="en-GB"/>
        </w:rPr>
        <w:t xml:space="preserve">a and </w:t>
      </w:r>
      <w:r w:rsidR="00FF7A56" w:rsidRPr="00EF0510">
        <w:rPr>
          <w:rFonts w:asciiTheme="majorBidi" w:hAnsiTheme="majorBidi" w:cstheme="majorBidi"/>
          <w:sz w:val="24"/>
          <w:szCs w:val="24"/>
          <w:lang w:val="en-GB"/>
        </w:rPr>
        <w:t>H2</w:t>
      </w:r>
      <w:r w:rsidRPr="00EF0510">
        <w:rPr>
          <w:rFonts w:asciiTheme="majorBidi" w:hAnsiTheme="majorBidi" w:cstheme="majorBidi"/>
          <w:sz w:val="24"/>
          <w:szCs w:val="24"/>
          <w:lang w:val="en-GB"/>
        </w:rPr>
        <w:t>b but</w:t>
      </w:r>
      <w:r w:rsidR="00FF7A56" w:rsidRPr="00EF0510">
        <w:rPr>
          <w:rFonts w:asciiTheme="majorBidi" w:hAnsiTheme="majorBidi" w:cstheme="majorBidi"/>
          <w:sz w:val="24"/>
          <w:szCs w:val="24"/>
          <w:lang w:val="en-GB"/>
        </w:rPr>
        <w:t xml:space="preserve"> reject H2c.  In sum, H2</w:t>
      </w:r>
      <w:r w:rsidR="00E022E0" w:rsidRPr="00EF0510">
        <w:rPr>
          <w:rFonts w:asciiTheme="majorBidi" w:hAnsiTheme="majorBidi" w:cstheme="majorBidi"/>
          <w:sz w:val="24"/>
          <w:szCs w:val="24"/>
          <w:lang w:val="en-GB"/>
        </w:rPr>
        <w:t xml:space="preserve"> can be accepted as SGM has</w:t>
      </w:r>
      <w:r w:rsidRPr="00EF0510">
        <w:rPr>
          <w:rFonts w:asciiTheme="majorBidi" w:hAnsiTheme="majorBidi" w:cstheme="majorBidi"/>
          <w:sz w:val="24"/>
          <w:szCs w:val="24"/>
          <w:lang w:val="en-GB"/>
        </w:rPr>
        <w:t xml:space="preserve"> </w:t>
      </w:r>
      <w:r w:rsidRPr="006E388F">
        <w:rPr>
          <w:rFonts w:asciiTheme="majorBidi" w:hAnsiTheme="majorBidi" w:cstheme="majorBidi"/>
          <w:sz w:val="24"/>
          <w:szCs w:val="24"/>
          <w:lang w:val="en-GB"/>
        </w:rPr>
        <w:t xml:space="preserve">a </w:t>
      </w:r>
      <w:r w:rsidR="001B5A1F">
        <w:rPr>
          <w:rFonts w:asciiTheme="majorBidi" w:hAnsiTheme="majorBidi" w:cstheme="majorBidi"/>
          <w:sz w:val="24"/>
          <w:szCs w:val="24"/>
          <w:lang w:val="en-GB"/>
        </w:rPr>
        <w:t>positive effect</w:t>
      </w:r>
      <w:r w:rsidRPr="006E388F">
        <w:rPr>
          <w:rFonts w:asciiTheme="majorBidi" w:hAnsiTheme="majorBidi" w:cstheme="majorBidi"/>
          <w:sz w:val="24"/>
          <w:szCs w:val="24"/>
          <w:lang w:val="en-GB"/>
        </w:rPr>
        <w:t xml:space="preserve"> on the two out of three indicators of financial performance.</w:t>
      </w:r>
    </w:p>
    <w:p w:rsidR="00263A01" w:rsidRPr="006E388F" w:rsidRDefault="00263A01" w:rsidP="007F04E2">
      <w:pPr>
        <w:pStyle w:val="BodyText"/>
        <w:spacing w:line="240" w:lineRule="auto"/>
        <w:ind w:firstLine="720"/>
        <w:rPr>
          <w:rFonts w:asciiTheme="majorBidi" w:hAnsiTheme="majorBidi" w:cstheme="majorBidi"/>
          <w:lang w:val="en-GB"/>
        </w:rPr>
      </w:pPr>
      <w:r w:rsidRPr="006E388F">
        <w:rPr>
          <w:rFonts w:asciiTheme="majorBidi" w:hAnsiTheme="majorBidi" w:cstheme="majorBidi"/>
          <w:lang w:val="en-GB"/>
        </w:rPr>
        <w:t xml:space="preserve">CGM and SGM have been described as the key factors for the monitoring and control of Islamic banks.  Hence, this finding should be interpreted </w:t>
      </w:r>
      <w:r w:rsidR="00803ABB">
        <w:rPr>
          <w:rFonts w:asciiTheme="majorBidi" w:hAnsiTheme="majorBidi" w:cstheme="majorBidi"/>
          <w:lang w:val="en-GB"/>
        </w:rPr>
        <w:t xml:space="preserve">that </w:t>
      </w:r>
      <w:r w:rsidRPr="006E388F">
        <w:rPr>
          <w:rFonts w:asciiTheme="majorBidi" w:hAnsiTheme="majorBidi" w:cstheme="majorBidi"/>
          <w:lang w:val="en-GB"/>
        </w:rPr>
        <w:t xml:space="preserve">as </w:t>
      </w:r>
      <w:r w:rsidR="00C06B69">
        <w:rPr>
          <w:rFonts w:asciiTheme="majorBidi" w:hAnsiTheme="majorBidi" w:cstheme="majorBidi"/>
          <w:lang w:val="en-GB"/>
        </w:rPr>
        <w:t xml:space="preserve">the </w:t>
      </w:r>
      <w:r w:rsidRPr="006E388F">
        <w:rPr>
          <w:rFonts w:asciiTheme="majorBidi" w:hAnsiTheme="majorBidi" w:cstheme="majorBidi"/>
          <w:noProof/>
          <w:lang w:val="en-GB"/>
        </w:rPr>
        <w:t>board</w:t>
      </w:r>
      <w:r w:rsidRPr="006E388F">
        <w:rPr>
          <w:rFonts w:asciiTheme="majorBidi" w:hAnsiTheme="majorBidi" w:cstheme="majorBidi"/>
          <w:lang w:val="en-GB"/>
        </w:rPr>
        <w:t xml:space="preserve"> of </w:t>
      </w:r>
      <w:r w:rsidRPr="006E388F">
        <w:rPr>
          <w:rFonts w:asciiTheme="majorBidi" w:hAnsiTheme="majorBidi" w:cstheme="majorBidi"/>
          <w:noProof/>
          <w:lang w:val="en-GB"/>
        </w:rPr>
        <w:t>directors</w:t>
      </w:r>
      <w:r w:rsidRPr="006E388F">
        <w:rPr>
          <w:rFonts w:asciiTheme="majorBidi" w:hAnsiTheme="majorBidi" w:cstheme="majorBidi"/>
          <w:lang w:val="en-GB"/>
        </w:rPr>
        <w:t xml:space="preserve"> and Shari’ah boards that administer, monitor, direct and control</w:t>
      </w:r>
      <w:r w:rsidR="00803ABB">
        <w:rPr>
          <w:rFonts w:asciiTheme="majorBidi" w:hAnsiTheme="majorBidi" w:cstheme="majorBidi"/>
          <w:lang w:val="en-GB"/>
        </w:rPr>
        <w:t>,</w:t>
      </w:r>
      <w:r w:rsidRPr="006E388F">
        <w:rPr>
          <w:rFonts w:asciiTheme="majorBidi" w:hAnsiTheme="majorBidi" w:cstheme="majorBidi"/>
          <w:lang w:val="en-GB"/>
        </w:rPr>
        <w:t xml:space="preserve"> the Islamic banks should always behave according to the Shari’ah compliance and Islamic values to ensure better performance.  </w:t>
      </w:r>
    </w:p>
    <w:p w:rsidR="00263A01" w:rsidRPr="006E388F" w:rsidRDefault="00263A01" w:rsidP="00803ABB">
      <w:pPr>
        <w:pStyle w:val="BodyText"/>
        <w:spacing w:line="240" w:lineRule="auto"/>
        <w:ind w:firstLine="720"/>
        <w:rPr>
          <w:rFonts w:asciiTheme="majorBidi" w:hAnsiTheme="majorBidi" w:cstheme="majorBidi"/>
          <w:lang w:val="en-GB"/>
        </w:rPr>
      </w:pPr>
      <w:r w:rsidRPr="006E388F">
        <w:rPr>
          <w:rFonts w:asciiTheme="majorBidi" w:hAnsiTheme="majorBidi" w:cstheme="majorBidi"/>
          <w:lang w:val="en-GB"/>
        </w:rPr>
        <w:t xml:space="preserve">In the context of SGFW (2011), the finding of this study indicates that the right step taken by the regulators to enhance the SGM quality of Islamic banks may be seen as a step in the right direction.  The evidence that SGM </w:t>
      </w:r>
      <w:r w:rsidR="00E022E0">
        <w:rPr>
          <w:rFonts w:asciiTheme="majorBidi" w:hAnsiTheme="majorBidi" w:cstheme="majorBidi"/>
          <w:noProof/>
          <w:lang w:val="en-GB"/>
        </w:rPr>
        <w:t>has</w:t>
      </w:r>
      <w:r w:rsidRPr="006E388F">
        <w:rPr>
          <w:rFonts w:asciiTheme="majorBidi" w:hAnsiTheme="majorBidi" w:cstheme="majorBidi"/>
          <w:lang w:val="en-GB"/>
        </w:rPr>
        <w:t xml:space="preserve"> </w:t>
      </w:r>
      <w:r w:rsidRPr="00EF0510">
        <w:rPr>
          <w:rFonts w:asciiTheme="majorBidi" w:hAnsiTheme="majorBidi" w:cstheme="majorBidi"/>
          <w:lang w:val="en-GB"/>
        </w:rPr>
        <w:t xml:space="preserve">a </w:t>
      </w:r>
      <w:r w:rsidR="001B5A1F" w:rsidRPr="00EF0510">
        <w:rPr>
          <w:rFonts w:asciiTheme="majorBidi" w:hAnsiTheme="majorBidi" w:cstheme="majorBidi"/>
          <w:lang w:val="en-GB"/>
        </w:rPr>
        <w:t xml:space="preserve">positive effect </w:t>
      </w:r>
      <w:r w:rsidRPr="00EF0510">
        <w:rPr>
          <w:rFonts w:asciiTheme="majorBidi" w:hAnsiTheme="majorBidi" w:cstheme="majorBidi"/>
          <w:lang w:val="en-GB"/>
        </w:rPr>
        <w:t xml:space="preserve">on IEP indicates the need for Islamic banks to provide an ideal attribute of Shari’ah boards in </w:t>
      </w:r>
      <w:r w:rsidRPr="006E388F">
        <w:rPr>
          <w:rFonts w:asciiTheme="majorBidi" w:hAnsiTheme="majorBidi" w:cstheme="majorBidi"/>
          <w:lang w:val="en-GB"/>
        </w:rPr>
        <w:t xml:space="preserve">discharging duties and accountability for Shari’ah matters.  </w:t>
      </w:r>
    </w:p>
    <w:p w:rsidR="00263A01" w:rsidRPr="006E388F" w:rsidRDefault="00803ABB" w:rsidP="00B909C2">
      <w:pPr>
        <w:pStyle w:val="BodyText"/>
        <w:spacing w:line="240" w:lineRule="auto"/>
        <w:ind w:firstLine="720"/>
        <w:rPr>
          <w:rFonts w:asciiTheme="majorBidi" w:hAnsiTheme="majorBidi" w:cstheme="majorBidi"/>
          <w:lang w:val="en-GB"/>
        </w:rPr>
      </w:pPr>
      <w:r>
        <w:rPr>
          <w:rFonts w:asciiTheme="majorBidi" w:hAnsiTheme="majorBidi" w:cstheme="majorBidi"/>
          <w:lang w:val="en-GB"/>
        </w:rPr>
        <w:t>The study</w:t>
      </w:r>
      <w:r w:rsidR="00263A01" w:rsidRPr="006E388F">
        <w:rPr>
          <w:rFonts w:asciiTheme="majorBidi" w:hAnsiTheme="majorBidi" w:cstheme="majorBidi"/>
          <w:lang w:val="en-GB"/>
        </w:rPr>
        <w:t xml:space="preserve"> is in line with the suggestion made by Hasan (2012), that by having better key players in Shari’ah governance </w:t>
      </w:r>
      <w:r w:rsidR="00263A01" w:rsidRPr="006E388F">
        <w:rPr>
          <w:rFonts w:asciiTheme="majorBidi" w:hAnsiTheme="majorBidi" w:cstheme="majorBidi"/>
          <w:noProof/>
          <w:lang w:val="en-GB"/>
        </w:rPr>
        <w:t>mechanisms,</w:t>
      </w:r>
      <w:r w:rsidR="00263A01" w:rsidRPr="006E388F">
        <w:rPr>
          <w:rFonts w:asciiTheme="majorBidi" w:hAnsiTheme="majorBidi" w:cstheme="majorBidi"/>
          <w:lang w:val="en-GB"/>
        </w:rPr>
        <w:t xml:space="preserve"> better performance is expected from Islamic banks.  These results confirm that the greater the extent of the control and monitoring mechanisms from the Shari’ah compliance perspective, the greater it will enhance</w:t>
      </w:r>
      <w:r w:rsidR="00FF7A56" w:rsidRPr="006E388F">
        <w:rPr>
          <w:rFonts w:asciiTheme="majorBidi" w:hAnsiTheme="majorBidi" w:cstheme="majorBidi"/>
          <w:lang w:val="en-GB"/>
        </w:rPr>
        <w:t xml:space="preserve"> F</w:t>
      </w:r>
      <w:r w:rsidR="00263A01" w:rsidRPr="006E388F">
        <w:rPr>
          <w:rFonts w:asciiTheme="majorBidi" w:hAnsiTheme="majorBidi" w:cstheme="majorBidi"/>
          <w:lang w:val="en-GB"/>
        </w:rPr>
        <w:t xml:space="preserve">P.  </w:t>
      </w:r>
      <w:r>
        <w:rPr>
          <w:rFonts w:asciiTheme="majorBidi" w:hAnsiTheme="majorBidi" w:cstheme="majorBidi"/>
          <w:lang w:val="en-GB"/>
        </w:rPr>
        <w:t xml:space="preserve">Previous studies such as </w:t>
      </w:r>
      <w:r w:rsidR="00263A01" w:rsidRPr="006E388F">
        <w:rPr>
          <w:rFonts w:asciiTheme="majorBidi" w:hAnsiTheme="majorBidi" w:cstheme="majorBidi"/>
          <w:lang w:val="en-GB"/>
        </w:rPr>
        <w:t>Hashim et al., 2015;</w:t>
      </w:r>
      <w:r w:rsidR="00263A01" w:rsidRPr="006E388F">
        <w:rPr>
          <w:rFonts w:asciiTheme="majorBidi" w:hAnsiTheme="majorBidi" w:cstheme="majorBidi"/>
          <w:lang w:val="en-GB" w:eastAsia="en-MY"/>
        </w:rPr>
        <w:t xml:space="preserve"> Garas, 2012; Mollah and Zaman, 2015; Muhamad Sari, 2015; Choudhury, 2015; Magalhaes and Al-Saad, 2013; Rashid et al., 2013; Hamza, 2013; Andres and Vallelado, 2008; Adam and Mehran, 2003; Haniffa and Hudaib, 2007; Nienhaus, 2007; Farook et al., 2011; Al-Tamimi, 2012; Abu-Tapanjeh, 2009; Saf</w:t>
      </w:r>
      <w:r w:rsidR="00B909C2">
        <w:rPr>
          <w:rFonts w:asciiTheme="majorBidi" w:hAnsiTheme="majorBidi" w:cstheme="majorBidi"/>
          <w:lang w:val="en-GB" w:eastAsia="en-MY"/>
        </w:rPr>
        <w:t xml:space="preserve">ieddine, 2009; Darmadi, 2013 emphasize the </w:t>
      </w:r>
      <w:r w:rsidR="00B909C2" w:rsidRPr="006E388F">
        <w:rPr>
          <w:rFonts w:asciiTheme="majorBidi" w:hAnsiTheme="majorBidi" w:cstheme="majorBidi"/>
          <w:lang w:val="en-GB"/>
        </w:rPr>
        <w:t>essential role</w:t>
      </w:r>
      <w:r w:rsidR="00B909C2">
        <w:rPr>
          <w:rFonts w:asciiTheme="majorBidi" w:hAnsiTheme="majorBidi" w:cstheme="majorBidi"/>
          <w:lang w:val="en-GB"/>
        </w:rPr>
        <w:t>s</w:t>
      </w:r>
      <w:r w:rsidR="00B909C2" w:rsidRPr="006E388F">
        <w:rPr>
          <w:rFonts w:asciiTheme="majorBidi" w:hAnsiTheme="majorBidi" w:cstheme="majorBidi"/>
          <w:lang w:val="en-GB"/>
        </w:rPr>
        <w:t xml:space="preserve"> of the SSB in support</w:t>
      </w:r>
      <w:r w:rsidR="00B909C2">
        <w:rPr>
          <w:rFonts w:asciiTheme="majorBidi" w:hAnsiTheme="majorBidi" w:cstheme="majorBidi"/>
          <w:lang w:val="en-GB"/>
        </w:rPr>
        <w:t>ing Islamic banks’ performance.</w:t>
      </w:r>
    </w:p>
    <w:p w:rsidR="00263A01" w:rsidRPr="006E388F" w:rsidRDefault="00263A01" w:rsidP="007F04E2">
      <w:pPr>
        <w:pStyle w:val="BodyText"/>
        <w:spacing w:line="240" w:lineRule="auto"/>
        <w:ind w:firstLine="720"/>
        <w:rPr>
          <w:rFonts w:asciiTheme="majorBidi" w:hAnsiTheme="majorBidi" w:cstheme="majorBidi"/>
          <w:lang w:val="en-GB"/>
        </w:rPr>
      </w:pPr>
      <w:r w:rsidRPr="006E388F">
        <w:rPr>
          <w:rFonts w:asciiTheme="majorBidi" w:hAnsiTheme="majorBidi" w:cstheme="majorBidi"/>
          <w:lang w:val="en-GB"/>
        </w:rPr>
        <w:t xml:space="preserve">Ideally, as mentioned by Tariqullah (2006), the members of Shari’ah committees should be knowledgeable in economic, legal and accounting issues in relation to Shari’ah matters.  They should be a pious person and should be able to give good advice.  Clearly, an efficient board is a strong base for governance and is valuable not only for its shareholders and </w:t>
      </w:r>
      <w:r w:rsidRPr="006E388F">
        <w:rPr>
          <w:rFonts w:asciiTheme="majorBidi" w:hAnsiTheme="majorBidi" w:cstheme="majorBidi"/>
          <w:noProof/>
          <w:lang w:val="en-GB"/>
        </w:rPr>
        <w:t>stakeholders,</w:t>
      </w:r>
      <w:r w:rsidRPr="006E388F">
        <w:rPr>
          <w:rFonts w:asciiTheme="majorBidi" w:hAnsiTheme="majorBidi" w:cstheme="majorBidi"/>
          <w:lang w:val="en-GB"/>
        </w:rPr>
        <w:t xml:space="preserve"> but also for the development of an Islamic economic system.  Moreover, the </w:t>
      </w:r>
      <w:r w:rsidRPr="006E388F">
        <w:rPr>
          <w:rFonts w:asciiTheme="majorBidi" w:hAnsiTheme="majorBidi" w:cstheme="majorBidi"/>
          <w:lang w:val="en-GB"/>
        </w:rPr>
        <w:lastRenderedPageBreak/>
        <w:t xml:space="preserve">sound governance of banks is a necessary condition to safeguard both the health of financial intermediaries and the economic development of a country.  </w:t>
      </w:r>
    </w:p>
    <w:p w:rsidR="007F04E2" w:rsidRDefault="007F04E2" w:rsidP="006E388F">
      <w:pPr>
        <w:pStyle w:val="BodyTextFirstIndent"/>
        <w:spacing w:line="240" w:lineRule="auto"/>
        <w:ind w:firstLine="0"/>
        <w:jc w:val="both"/>
        <w:rPr>
          <w:rFonts w:asciiTheme="majorBidi" w:hAnsiTheme="majorBidi" w:cstheme="majorBidi"/>
          <w:b/>
          <w:bCs/>
          <w:sz w:val="24"/>
          <w:szCs w:val="24"/>
          <w:lang w:val="en-GB"/>
        </w:rPr>
      </w:pPr>
    </w:p>
    <w:p w:rsidR="00556A6F" w:rsidRDefault="00556A6F" w:rsidP="006E388F">
      <w:pPr>
        <w:pStyle w:val="BodyTextFirstIndent"/>
        <w:spacing w:line="240" w:lineRule="auto"/>
        <w:ind w:firstLine="0"/>
        <w:jc w:val="both"/>
        <w:rPr>
          <w:rFonts w:asciiTheme="majorBidi" w:hAnsiTheme="majorBidi" w:cstheme="majorBidi"/>
          <w:b/>
          <w:bCs/>
          <w:sz w:val="24"/>
          <w:szCs w:val="24"/>
          <w:lang w:val="en-GB"/>
        </w:rPr>
      </w:pPr>
    </w:p>
    <w:p w:rsidR="00556A6F" w:rsidRDefault="00556A6F" w:rsidP="006E388F">
      <w:pPr>
        <w:pStyle w:val="BodyTextFirstIndent"/>
        <w:spacing w:line="240" w:lineRule="auto"/>
        <w:ind w:firstLine="0"/>
        <w:jc w:val="both"/>
        <w:rPr>
          <w:rFonts w:asciiTheme="majorBidi" w:hAnsiTheme="majorBidi" w:cstheme="majorBidi"/>
          <w:b/>
          <w:bCs/>
          <w:sz w:val="24"/>
          <w:szCs w:val="24"/>
          <w:lang w:val="en-GB"/>
        </w:rPr>
      </w:pPr>
    </w:p>
    <w:p w:rsidR="00E42CDB" w:rsidRPr="006E388F" w:rsidRDefault="00556A6F" w:rsidP="006E388F">
      <w:pPr>
        <w:pStyle w:val="BodyTextFirstIndent"/>
        <w:spacing w:line="240" w:lineRule="auto"/>
        <w:ind w:firstLine="0"/>
        <w:jc w:val="both"/>
        <w:rPr>
          <w:rFonts w:asciiTheme="majorBidi" w:hAnsiTheme="majorBidi" w:cstheme="majorBidi"/>
          <w:b/>
          <w:bCs/>
          <w:sz w:val="24"/>
          <w:szCs w:val="24"/>
          <w:lang w:val="en-GB"/>
        </w:rPr>
      </w:pPr>
      <w:r>
        <w:rPr>
          <w:rFonts w:asciiTheme="majorBidi" w:hAnsiTheme="majorBidi" w:cstheme="majorBidi"/>
          <w:b/>
          <w:bCs/>
          <w:sz w:val="24"/>
          <w:szCs w:val="24"/>
          <w:lang w:val="en-GB"/>
        </w:rPr>
        <w:t>Conclusion</w:t>
      </w:r>
    </w:p>
    <w:p w:rsidR="007F04E2" w:rsidRPr="00E022E0" w:rsidRDefault="00263A01" w:rsidP="00BC5C00">
      <w:pPr>
        <w:pStyle w:val="BodyTextFirstIndent"/>
        <w:spacing w:line="240" w:lineRule="auto"/>
        <w:ind w:firstLine="0"/>
        <w:jc w:val="both"/>
        <w:rPr>
          <w:rFonts w:ascii="Times New Roman" w:hAnsi="Times New Roman" w:cs="Times New Roman"/>
          <w:sz w:val="24"/>
          <w:szCs w:val="24"/>
        </w:rPr>
      </w:pPr>
      <w:r w:rsidRPr="006E388F">
        <w:rPr>
          <w:rFonts w:asciiTheme="majorBidi" w:hAnsiTheme="majorBidi" w:cstheme="majorBidi"/>
          <w:sz w:val="24"/>
          <w:szCs w:val="24"/>
          <w:lang w:val="en-GB"/>
        </w:rPr>
        <w:t xml:space="preserve">This indicates that when there </w:t>
      </w:r>
      <w:r w:rsidRPr="006E388F">
        <w:rPr>
          <w:rFonts w:asciiTheme="majorBidi" w:hAnsiTheme="majorBidi" w:cstheme="majorBidi"/>
          <w:noProof/>
          <w:sz w:val="24"/>
          <w:szCs w:val="24"/>
          <w:lang w:val="en-GB"/>
        </w:rPr>
        <w:t>are</w:t>
      </w:r>
      <w:r w:rsidRPr="006E388F">
        <w:rPr>
          <w:rFonts w:asciiTheme="majorBidi" w:hAnsiTheme="majorBidi" w:cstheme="majorBidi"/>
          <w:sz w:val="24"/>
          <w:szCs w:val="24"/>
          <w:lang w:val="en-GB"/>
        </w:rPr>
        <w:t xml:space="preserve"> proper monitoring and control mechanisms for corporate and Shari’ah governance, financial performance is significantly better.  Thus, the results of this study appear to be expected because every code of governance guideline clearly states that governance provides a guarantee for good performance.  As such, </w:t>
      </w:r>
      <w:r w:rsidRPr="006E388F">
        <w:rPr>
          <w:rFonts w:asciiTheme="majorBidi" w:hAnsiTheme="majorBidi" w:cstheme="majorBidi"/>
          <w:noProof/>
          <w:sz w:val="24"/>
          <w:szCs w:val="24"/>
          <w:lang w:val="en-GB"/>
        </w:rPr>
        <w:t>ideally,</w:t>
      </w:r>
      <w:r w:rsidRPr="006E388F">
        <w:rPr>
          <w:rFonts w:asciiTheme="majorBidi" w:hAnsiTheme="majorBidi" w:cstheme="majorBidi"/>
          <w:sz w:val="24"/>
          <w:szCs w:val="24"/>
          <w:lang w:val="en-GB"/>
        </w:rPr>
        <w:t xml:space="preserve"> every Islamic bank should structure a good corporate and Shari’ah governance syste</w:t>
      </w:r>
      <w:r w:rsidR="00BC5C00">
        <w:rPr>
          <w:rFonts w:asciiTheme="majorBidi" w:hAnsiTheme="majorBidi" w:cstheme="majorBidi"/>
          <w:sz w:val="24"/>
          <w:szCs w:val="24"/>
          <w:lang w:val="en-GB"/>
        </w:rPr>
        <w:t xml:space="preserve">m in their business operations. </w:t>
      </w:r>
      <w:r w:rsidR="00BC5C00" w:rsidRPr="00EF0510">
        <w:rPr>
          <w:rFonts w:asciiTheme="majorBidi" w:hAnsiTheme="majorBidi" w:cstheme="majorBidi"/>
          <w:sz w:val="24"/>
          <w:szCs w:val="24"/>
          <w:lang w:val="en-GB"/>
        </w:rPr>
        <w:t>Future studies can focus m</w:t>
      </w:r>
      <w:r w:rsidR="00E022E0" w:rsidRPr="00EF0510">
        <w:rPr>
          <w:rFonts w:asciiTheme="majorBidi" w:hAnsiTheme="majorBidi" w:cstheme="majorBidi"/>
          <w:sz w:val="24"/>
          <w:szCs w:val="24"/>
          <w:lang w:val="en-GB"/>
        </w:rPr>
        <w:t xml:space="preserve">ore sample from other countries. </w:t>
      </w:r>
      <w:r w:rsidR="00E022E0" w:rsidRPr="00EF0510">
        <w:rPr>
          <w:rFonts w:ascii="Times New Roman" w:hAnsi="Times New Roman" w:cs="Times New Roman"/>
          <w:sz w:val="24"/>
          <w:szCs w:val="24"/>
        </w:rPr>
        <w:t xml:space="preserve">A perception based study like use of a questionnaire or interviews can also be conducted in this research area within and other national settings. </w:t>
      </w:r>
    </w:p>
    <w:p w:rsidR="001547F0" w:rsidRPr="006E388F" w:rsidRDefault="001547F0" w:rsidP="006E388F">
      <w:pPr>
        <w:spacing w:line="240" w:lineRule="auto"/>
        <w:jc w:val="both"/>
        <w:rPr>
          <w:rFonts w:asciiTheme="majorBidi" w:hAnsiTheme="majorBidi" w:cstheme="majorBidi"/>
          <w:b/>
          <w:bCs/>
          <w:sz w:val="24"/>
          <w:szCs w:val="24"/>
          <w:lang w:val="en-US"/>
        </w:rPr>
      </w:pPr>
      <w:r w:rsidRPr="006E388F">
        <w:rPr>
          <w:rFonts w:asciiTheme="majorBidi" w:hAnsiTheme="majorBidi" w:cstheme="majorBidi"/>
          <w:b/>
          <w:bCs/>
          <w:sz w:val="24"/>
          <w:szCs w:val="24"/>
          <w:lang w:val="en-US"/>
        </w:rPr>
        <w:t>Acknowledgments</w:t>
      </w:r>
    </w:p>
    <w:p w:rsidR="001547F0" w:rsidRDefault="001510D5" w:rsidP="006E388F">
      <w:pPr>
        <w:spacing w:after="20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initial findings have </w:t>
      </w:r>
      <w:r w:rsidR="001547F0" w:rsidRPr="006E388F">
        <w:rPr>
          <w:rFonts w:asciiTheme="majorBidi" w:hAnsiTheme="majorBidi" w:cstheme="majorBidi"/>
          <w:sz w:val="24"/>
          <w:szCs w:val="24"/>
          <w:lang w:val="en-US"/>
        </w:rPr>
        <w:t>received positive response in the International Conference of Islamic Perspective of Accounting, Finance, Economic and Management (IPAFEM</w:t>
      </w:r>
      <w:r w:rsidR="00085B6A" w:rsidRPr="006E388F">
        <w:rPr>
          <w:rFonts w:asciiTheme="majorBidi" w:hAnsiTheme="majorBidi" w:cstheme="majorBidi"/>
          <w:sz w:val="24"/>
          <w:szCs w:val="24"/>
          <w:lang w:val="en-US"/>
        </w:rPr>
        <w:t xml:space="preserve"> 2015</w:t>
      </w:r>
      <w:r w:rsidR="001547F0" w:rsidRPr="006E388F">
        <w:rPr>
          <w:rFonts w:asciiTheme="majorBidi" w:hAnsiTheme="majorBidi" w:cstheme="majorBidi"/>
          <w:sz w:val="24"/>
          <w:szCs w:val="24"/>
          <w:lang w:val="en-US"/>
        </w:rPr>
        <w:t>, 12 – 13 April 2015) in the Uni</w:t>
      </w:r>
      <w:r w:rsidR="00DC3878" w:rsidRPr="006E388F">
        <w:rPr>
          <w:rFonts w:asciiTheme="majorBidi" w:hAnsiTheme="majorBidi" w:cstheme="majorBidi"/>
          <w:sz w:val="24"/>
          <w:szCs w:val="24"/>
          <w:lang w:val="en-US"/>
        </w:rPr>
        <w:t xml:space="preserve">versity of Glasgow, Scotland, and at </w:t>
      </w:r>
      <w:r w:rsidR="00085B6A" w:rsidRPr="006E388F">
        <w:rPr>
          <w:rFonts w:asciiTheme="majorBidi" w:hAnsiTheme="majorBidi" w:cstheme="majorBidi"/>
          <w:sz w:val="24"/>
          <w:szCs w:val="24"/>
          <w:lang w:val="en-US"/>
        </w:rPr>
        <w:t>t</w:t>
      </w:r>
      <w:r w:rsidR="001547F0" w:rsidRPr="006E388F">
        <w:rPr>
          <w:rFonts w:asciiTheme="majorBidi" w:hAnsiTheme="majorBidi" w:cstheme="majorBidi"/>
          <w:sz w:val="24"/>
          <w:szCs w:val="24"/>
          <w:lang w:val="en-US"/>
        </w:rPr>
        <w:t>he International Conference of Management, Leadership and Governance (ICMLG</w:t>
      </w:r>
      <w:r w:rsidR="00085B6A" w:rsidRPr="006E388F">
        <w:rPr>
          <w:rFonts w:asciiTheme="majorBidi" w:hAnsiTheme="majorBidi" w:cstheme="majorBidi"/>
          <w:sz w:val="24"/>
          <w:szCs w:val="24"/>
          <w:lang w:val="en-US"/>
        </w:rPr>
        <w:t xml:space="preserve"> 2015</w:t>
      </w:r>
      <w:r w:rsidR="001547F0" w:rsidRPr="006E388F">
        <w:rPr>
          <w:rFonts w:asciiTheme="majorBidi" w:hAnsiTheme="majorBidi" w:cstheme="majorBidi"/>
          <w:sz w:val="24"/>
          <w:szCs w:val="24"/>
          <w:lang w:val="en-US"/>
        </w:rPr>
        <w:t xml:space="preserve">, 10 – 11 February 2015) in the Auckland University of Technology, New Zealand. </w:t>
      </w:r>
    </w:p>
    <w:p w:rsidR="00F3244C" w:rsidRPr="006E388F" w:rsidRDefault="00F3244C" w:rsidP="006E388F">
      <w:pPr>
        <w:spacing w:after="0" w:line="240" w:lineRule="auto"/>
        <w:jc w:val="both"/>
        <w:rPr>
          <w:rFonts w:asciiTheme="majorBidi" w:hAnsiTheme="majorBidi" w:cstheme="majorBidi"/>
          <w:b/>
          <w:bCs/>
          <w:sz w:val="24"/>
          <w:szCs w:val="24"/>
        </w:rPr>
      </w:pPr>
    </w:p>
    <w:p w:rsidR="00B541D2" w:rsidRPr="006E388F" w:rsidRDefault="001547F0" w:rsidP="006E388F">
      <w:pPr>
        <w:spacing w:after="0" w:line="240" w:lineRule="auto"/>
        <w:jc w:val="both"/>
        <w:rPr>
          <w:rFonts w:asciiTheme="majorBidi" w:hAnsiTheme="majorBidi" w:cstheme="majorBidi"/>
          <w:b/>
          <w:bCs/>
          <w:sz w:val="24"/>
          <w:szCs w:val="24"/>
        </w:rPr>
      </w:pPr>
      <w:r w:rsidRPr="006E388F">
        <w:rPr>
          <w:rFonts w:asciiTheme="majorBidi" w:hAnsiTheme="majorBidi" w:cstheme="majorBidi"/>
          <w:b/>
          <w:bCs/>
          <w:sz w:val="24"/>
          <w:szCs w:val="24"/>
        </w:rPr>
        <w:t>REFERENCES</w:t>
      </w:r>
    </w:p>
    <w:p w:rsidR="00431708" w:rsidRPr="006E388F" w:rsidRDefault="00431708" w:rsidP="006E388F">
      <w:pPr>
        <w:pStyle w:val="BodyTextFirstIndent"/>
        <w:spacing w:after="0" w:line="240" w:lineRule="auto"/>
        <w:ind w:left="686" w:hanging="686"/>
        <w:jc w:val="both"/>
        <w:rPr>
          <w:rFonts w:asciiTheme="majorBidi" w:hAnsiTheme="majorBidi" w:cstheme="majorBidi"/>
          <w:sz w:val="24"/>
          <w:szCs w:val="24"/>
        </w:rPr>
      </w:pPr>
    </w:p>
    <w:p w:rsidR="00D15658" w:rsidRPr="00BC5C00" w:rsidRDefault="00B278B9" w:rsidP="006E388F">
      <w:pPr>
        <w:pStyle w:val="BodyTextFirstIndent"/>
        <w:spacing w:after="0" w:line="240" w:lineRule="auto"/>
        <w:ind w:left="686" w:hanging="686"/>
        <w:jc w:val="both"/>
        <w:rPr>
          <w:rFonts w:asciiTheme="majorBidi" w:hAnsiTheme="majorBidi" w:cstheme="majorBidi"/>
          <w:sz w:val="24"/>
          <w:szCs w:val="24"/>
        </w:rPr>
      </w:pPr>
      <w:r w:rsidRPr="006E388F">
        <w:rPr>
          <w:rFonts w:asciiTheme="majorBidi" w:hAnsiTheme="majorBidi" w:cstheme="majorBidi"/>
          <w:sz w:val="24"/>
          <w:szCs w:val="24"/>
        </w:rPr>
        <w:t xml:space="preserve">Abdul Rahman, A. R. (1998). Issues in corporate accountability and governance: An Islamic </w:t>
      </w:r>
      <w:r w:rsidRPr="00BC5C00">
        <w:rPr>
          <w:rFonts w:asciiTheme="majorBidi" w:hAnsiTheme="majorBidi" w:cstheme="majorBidi"/>
          <w:sz w:val="24"/>
          <w:szCs w:val="24"/>
        </w:rPr>
        <w:t xml:space="preserve">perspective. </w:t>
      </w:r>
      <w:r w:rsidRPr="00BC5C00">
        <w:rPr>
          <w:rFonts w:asciiTheme="majorBidi" w:hAnsiTheme="majorBidi" w:cstheme="majorBidi"/>
          <w:i/>
          <w:iCs/>
          <w:sz w:val="24"/>
          <w:szCs w:val="24"/>
        </w:rPr>
        <w:t xml:space="preserve">The American Journal of Islamic Social Science, </w:t>
      </w:r>
      <w:r w:rsidRPr="00BC5C00">
        <w:rPr>
          <w:rFonts w:asciiTheme="majorBidi" w:hAnsiTheme="majorBidi" w:cstheme="majorBidi"/>
          <w:sz w:val="24"/>
          <w:szCs w:val="24"/>
        </w:rPr>
        <w:t>15(1), 55-69.</w:t>
      </w:r>
    </w:p>
    <w:p w:rsidR="00BC5C00" w:rsidRPr="00BC5C00" w:rsidRDefault="00BC5C00" w:rsidP="00267D8C">
      <w:pPr>
        <w:widowControl w:val="0"/>
        <w:autoSpaceDE w:val="0"/>
        <w:autoSpaceDN w:val="0"/>
        <w:adjustRightInd w:val="0"/>
        <w:spacing w:after="0" w:line="240" w:lineRule="auto"/>
        <w:ind w:left="480" w:hanging="480"/>
        <w:rPr>
          <w:rFonts w:asciiTheme="majorBidi" w:hAnsiTheme="majorBidi" w:cstheme="majorBidi"/>
          <w:sz w:val="24"/>
          <w:szCs w:val="24"/>
          <w:lang w:val="en-GB"/>
        </w:rPr>
      </w:pPr>
      <w:r w:rsidRPr="00BC5C00">
        <w:rPr>
          <w:rFonts w:asciiTheme="majorBidi" w:hAnsiTheme="majorBidi" w:cstheme="majorBidi"/>
          <w:sz w:val="24"/>
          <w:szCs w:val="24"/>
          <w:lang w:val="en-GB"/>
        </w:rPr>
        <w:t xml:space="preserve">Abdullah, S. N. (2004). Board composition, CEO duality and performance among Malaysian listed companies. Corporate Governance, </w:t>
      </w:r>
      <w:r w:rsidRPr="00BC5C00">
        <w:rPr>
          <w:rFonts w:asciiTheme="majorBidi" w:hAnsiTheme="majorBidi" w:cstheme="majorBidi"/>
          <w:i/>
          <w:iCs/>
          <w:sz w:val="24"/>
          <w:szCs w:val="24"/>
          <w:lang w:val="en-GB"/>
        </w:rPr>
        <w:t>4</w:t>
      </w:r>
      <w:r w:rsidRPr="00BC5C00">
        <w:rPr>
          <w:rFonts w:asciiTheme="majorBidi" w:hAnsiTheme="majorBidi" w:cstheme="majorBidi"/>
          <w:sz w:val="24"/>
          <w:szCs w:val="24"/>
          <w:lang w:val="en-GB"/>
        </w:rPr>
        <w:t>(4), 47–61.</w:t>
      </w:r>
    </w:p>
    <w:p w:rsidR="009B6D52" w:rsidRPr="006E388F" w:rsidRDefault="006A5FC4" w:rsidP="00267D8C">
      <w:pPr>
        <w:pStyle w:val="BodyText"/>
        <w:spacing w:line="240" w:lineRule="auto"/>
        <w:ind w:left="686" w:hanging="686"/>
        <w:rPr>
          <w:rFonts w:asciiTheme="majorBidi" w:hAnsiTheme="majorBidi" w:cstheme="majorBidi"/>
        </w:rPr>
      </w:pPr>
      <w:r w:rsidRPr="00BC5C00">
        <w:rPr>
          <w:rFonts w:asciiTheme="majorBidi" w:hAnsiTheme="majorBidi" w:cstheme="majorBidi"/>
        </w:rPr>
        <w:t>Ali,</w:t>
      </w:r>
      <w:r w:rsidRPr="006E388F">
        <w:rPr>
          <w:rFonts w:asciiTheme="majorBidi" w:hAnsiTheme="majorBidi" w:cstheme="majorBidi"/>
        </w:rPr>
        <w:t xml:space="preserve"> S.S. (2010). Islamic Banking in the MENA Region. Financial Flagship. Washington: World Bank; Jeddah: Islamic Development Bank: Islamic Research and Training Institute.</w:t>
      </w:r>
    </w:p>
    <w:p w:rsidR="00D15658" w:rsidRPr="006E388F" w:rsidRDefault="00D15658" w:rsidP="006E388F">
      <w:pPr>
        <w:pStyle w:val="BodyTextFirstIndent"/>
        <w:spacing w:after="0" w:line="240" w:lineRule="auto"/>
        <w:ind w:left="686" w:hanging="686"/>
        <w:jc w:val="both"/>
        <w:rPr>
          <w:rFonts w:asciiTheme="majorBidi" w:hAnsiTheme="majorBidi" w:cstheme="majorBidi"/>
          <w:sz w:val="24"/>
          <w:szCs w:val="24"/>
        </w:rPr>
      </w:pPr>
      <w:r w:rsidRPr="006E388F">
        <w:rPr>
          <w:rFonts w:asciiTheme="majorBidi" w:hAnsiTheme="majorBidi" w:cstheme="majorBidi"/>
          <w:sz w:val="24"/>
          <w:szCs w:val="24"/>
        </w:rPr>
        <w:t>Ajlouni, M. M. &amp; Omari, H. O. (2013). Performance Efficiency of the Jordanian Islamic Banks Using Data Envelopment Analysis and Financial Ratios Analysis.</w:t>
      </w:r>
      <w:r w:rsidRPr="006E388F">
        <w:rPr>
          <w:rFonts w:asciiTheme="majorBidi" w:hAnsiTheme="majorBidi" w:cstheme="majorBidi"/>
          <w:i/>
          <w:sz w:val="24"/>
          <w:szCs w:val="24"/>
        </w:rPr>
        <w:t xml:space="preserve"> European Scientific Journal,</w:t>
      </w:r>
      <w:r w:rsidRPr="006E388F">
        <w:rPr>
          <w:rFonts w:asciiTheme="majorBidi" w:hAnsiTheme="majorBidi" w:cstheme="majorBidi"/>
          <w:sz w:val="24"/>
          <w:szCs w:val="24"/>
        </w:rPr>
        <w:t xml:space="preserve"> 1, 271- 281.</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Abu Kasim, N. A. (2012). Disclosure of Sh</w:t>
      </w:r>
      <w:r w:rsidR="00176589">
        <w:rPr>
          <w:rFonts w:asciiTheme="majorBidi" w:hAnsiTheme="majorBidi" w:cstheme="majorBidi"/>
        </w:rPr>
        <w:t>ari’ah compliance by Malaysian T</w:t>
      </w:r>
      <w:r w:rsidRPr="006E388F">
        <w:rPr>
          <w:rFonts w:asciiTheme="majorBidi" w:hAnsiTheme="majorBidi" w:cstheme="majorBidi"/>
        </w:rPr>
        <w:t xml:space="preserve">akaful companies. </w:t>
      </w:r>
      <w:r w:rsidRPr="006E388F">
        <w:rPr>
          <w:rFonts w:asciiTheme="majorBidi" w:hAnsiTheme="majorBidi" w:cstheme="majorBidi"/>
          <w:i/>
          <w:iCs/>
        </w:rPr>
        <w:t>Journal of Islamic Accounting and Business Research</w:t>
      </w:r>
      <w:r w:rsidRPr="006E388F">
        <w:rPr>
          <w:rFonts w:asciiTheme="majorBidi" w:hAnsiTheme="majorBidi" w:cstheme="majorBidi"/>
        </w:rPr>
        <w:t>, 3(1), 20 – 38.</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Abu Tapanjeh, A.M. (2009). Corporate governance from the Islamic perspective, a comparative analysis with OECD principles. </w:t>
      </w:r>
      <w:r w:rsidRPr="006E388F">
        <w:rPr>
          <w:rFonts w:asciiTheme="majorBidi" w:hAnsiTheme="majorBidi" w:cstheme="majorBidi"/>
          <w:i/>
          <w:iCs/>
        </w:rPr>
        <w:t>Critical Perspectives on Accounting</w:t>
      </w:r>
      <w:r w:rsidRPr="006E388F">
        <w:rPr>
          <w:rFonts w:asciiTheme="majorBidi" w:hAnsiTheme="majorBidi" w:cstheme="majorBidi"/>
        </w:rPr>
        <w:t>, 20(5), 566-567.</w:t>
      </w:r>
    </w:p>
    <w:p w:rsidR="008159CF" w:rsidRPr="006E388F" w:rsidRDefault="008159CF"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Accounting and Auditing Standards for Islamic Financial Institutions AAOIFI. (1999). Bahrain.</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Accounting and Auditing Standards for Islamic Financial Institutions AAOIFI. (2005). Bahrain.</w:t>
      </w:r>
    </w:p>
    <w:p w:rsidR="008159CF" w:rsidRPr="006E388F" w:rsidRDefault="008159CF"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Accounting and Auditing Standards for Islamic Financial Institutions AAOIFI. (2008). Bahrain.</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lastRenderedPageBreak/>
        <w:t xml:space="preserve">Adams, R. B., &amp; Mehran, H. (2012). Bank board structure and performance: Evidence for large bank holding companies. </w:t>
      </w:r>
      <w:r w:rsidRPr="006E388F">
        <w:rPr>
          <w:rFonts w:asciiTheme="majorBidi" w:hAnsiTheme="majorBidi" w:cstheme="majorBidi"/>
          <w:i/>
          <w:iCs/>
        </w:rPr>
        <w:t>Journal Financial Intermediation</w:t>
      </w:r>
      <w:r w:rsidRPr="006E388F">
        <w:rPr>
          <w:rFonts w:asciiTheme="majorBidi" w:hAnsiTheme="majorBidi" w:cstheme="majorBidi"/>
        </w:rPr>
        <w:t>, 21, 243–267. http://doi.org/10.1016/j.jfi.2011.09.002</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Adams, R., &amp; Mehran, H. (2003). Is Corporate Governance Different for Bank Holding Companie</w:t>
      </w:r>
      <w:r w:rsidR="00267D8C">
        <w:rPr>
          <w:rFonts w:asciiTheme="majorBidi" w:hAnsiTheme="majorBidi" w:cstheme="majorBidi"/>
        </w:rPr>
        <w:t>s</w:t>
      </w:r>
      <w:r w:rsidRPr="006E388F">
        <w:rPr>
          <w:rFonts w:asciiTheme="majorBidi" w:hAnsiTheme="majorBidi" w:cstheme="majorBidi"/>
        </w:rPr>
        <w:t xml:space="preserve">? </w:t>
      </w:r>
      <w:r w:rsidRPr="006E388F">
        <w:rPr>
          <w:rFonts w:asciiTheme="majorBidi" w:hAnsiTheme="majorBidi" w:cstheme="majorBidi"/>
          <w:i/>
          <w:iCs/>
        </w:rPr>
        <w:t>FRBNY Economic Policy Review</w:t>
      </w:r>
      <w:r w:rsidRPr="006E388F">
        <w:rPr>
          <w:rFonts w:asciiTheme="majorBidi" w:hAnsiTheme="majorBidi" w:cstheme="majorBidi"/>
        </w:rPr>
        <w:t>, (April), 123–142.</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Ahmad, S., &amp; Abdul Rahman, A. R. (2012). The efficiency of Islamic and conventional commercial banks in Malaysia</w:t>
      </w:r>
      <w:r w:rsidRPr="006E388F">
        <w:rPr>
          <w:rFonts w:asciiTheme="majorBidi" w:hAnsiTheme="majorBidi" w:cstheme="majorBidi"/>
          <w:i/>
          <w:iCs/>
        </w:rPr>
        <w:t>. International Journal of Islamic and Middle Eastern Finance and Management</w:t>
      </w:r>
      <w:r w:rsidRPr="006E388F">
        <w:rPr>
          <w:rFonts w:asciiTheme="majorBidi" w:hAnsiTheme="majorBidi" w:cstheme="majorBidi"/>
        </w:rPr>
        <w:t>, 5(3), 241–263. http://doi.org/10.1108/17538391211255223</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Al-Saidi, M., &amp; Al-Shammari, B. (2014). Corporate governance in Kuwait: An analysis in terms of grounded theory. </w:t>
      </w:r>
      <w:r w:rsidRPr="006E388F">
        <w:rPr>
          <w:rFonts w:asciiTheme="majorBidi" w:hAnsiTheme="majorBidi" w:cstheme="majorBidi"/>
          <w:i/>
          <w:iCs/>
        </w:rPr>
        <w:t>International Journal of Disclosure and Governance</w:t>
      </w:r>
      <w:r w:rsidRPr="006E388F">
        <w:rPr>
          <w:rFonts w:asciiTheme="majorBidi" w:hAnsiTheme="majorBidi" w:cstheme="majorBidi"/>
        </w:rPr>
        <w:t>, 11, 128-160.</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Al-Shammari, B., &amp; Al-Sultan, W. (2009). Corporate governance and corporate performance: evidence from Kuwait. </w:t>
      </w:r>
      <w:r w:rsidRPr="006E388F">
        <w:rPr>
          <w:rFonts w:asciiTheme="majorBidi" w:hAnsiTheme="majorBidi" w:cstheme="majorBidi"/>
          <w:i/>
          <w:iCs/>
        </w:rPr>
        <w:t>Journal of Corporate Ownership and Control</w:t>
      </w:r>
      <w:r w:rsidRPr="006E388F">
        <w:rPr>
          <w:rFonts w:asciiTheme="majorBidi" w:hAnsiTheme="majorBidi" w:cstheme="majorBidi"/>
        </w:rPr>
        <w:t>, 7(4), 334-349.</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Alsultan, W., Metwally, M.M., Roudaki, J. (2005). Financial Analysis of Performance of Islamic Banks in GCC Countries. In S. Al-Roubaie, A. and Alvi (Ed.), </w:t>
      </w:r>
      <w:r w:rsidRPr="006E388F">
        <w:rPr>
          <w:rFonts w:asciiTheme="majorBidi" w:hAnsiTheme="majorBidi" w:cstheme="majorBidi"/>
          <w:i/>
          <w:iCs/>
        </w:rPr>
        <w:t>Islamic Banking and Finance</w:t>
      </w:r>
      <w:r w:rsidRPr="006E388F">
        <w:rPr>
          <w:rFonts w:asciiTheme="majorBidi" w:hAnsiTheme="majorBidi" w:cstheme="majorBidi"/>
        </w:rPr>
        <w:t xml:space="preserve"> (Ed, pp. 236 – 247). New York: Routledge.</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Al-Tamimi, H. a. H. (2012). The effects of corporate governance on performance and financial distress: The experience of UAE national banks</w:t>
      </w:r>
      <w:r w:rsidRPr="006E388F">
        <w:rPr>
          <w:rFonts w:asciiTheme="majorBidi" w:hAnsiTheme="majorBidi" w:cstheme="majorBidi"/>
          <w:i/>
          <w:iCs/>
        </w:rPr>
        <w:t>. Journal of Financial Regulation and Compliance</w:t>
      </w:r>
      <w:r w:rsidRPr="006E388F">
        <w:rPr>
          <w:rFonts w:asciiTheme="majorBidi" w:hAnsiTheme="majorBidi" w:cstheme="majorBidi"/>
        </w:rPr>
        <w:t xml:space="preserve">, 20(2), 169–181. </w:t>
      </w:r>
      <w:hyperlink r:id="rId9" w:history="1">
        <w:r w:rsidRPr="006E388F">
          <w:rPr>
            <w:rStyle w:val="Hyperlink"/>
            <w:rFonts w:asciiTheme="majorBidi" w:hAnsiTheme="majorBidi" w:cstheme="majorBidi"/>
          </w:rPr>
          <w:t>http://doi.org/10.1108/13581981211218315</w:t>
        </w:r>
      </w:hyperlink>
      <w:r w:rsidRPr="006E388F">
        <w:rPr>
          <w:rFonts w:asciiTheme="majorBidi" w:hAnsiTheme="majorBidi" w:cstheme="majorBidi"/>
        </w:rPr>
        <w:t>.</w:t>
      </w:r>
    </w:p>
    <w:p w:rsidR="00B278B9" w:rsidRPr="006E388F" w:rsidRDefault="00176589" w:rsidP="006E388F">
      <w:pPr>
        <w:pStyle w:val="BodyTextFirstIndent"/>
        <w:spacing w:after="0" w:line="240" w:lineRule="auto"/>
        <w:ind w:left="686" w:hanging="686"/>
        <w:jc w:val="both"/>
        <w:rPr>
          <w:rFonts w:asciiTheme="majorBidi" w:hAnsiTheme="majorBidi" w:cstheme="majorBidi"/>
          <w:i/>
          <w:iCs/>
          <w:sz w:val="24"/>
          <w:szCs w:val="24"/>
        </w:rPr>
      </w:pPr>
      <w:r>
        <w:rPr>
          <w:rFonts w:asciiTheme="majorBidi" w:hAnsiTheme="majorBidi" w:cstheme="majorBidi"/>
          <w:sz w:val="24"/>
          <w:szCs w:val="24"/>
        </w:rPr>
        <w:t>Anderson, J. C., &amp; Gerbing, D.W</w:t>
      </w:r>
      <w:r w:rsidR="00B278B9" w:rsidRPr="006E388F">
        <w:rPr>
          <w:rFonts w:asciiTheme="majorBidi" w:hAnsiTheme="majorBidi" w:cstheme="majorBidi"/>
          <w:sz w:val="24"/>
          <w:szCs w:val="24"/>
        </w:rPr>
        <w:t xml:space="preserve">. (1988). Structural equation modelling in practice: A review and recommended two-step approach. </w:t>
      </w:r>
      <w:r w:rsidR="00B278B9" w:rsidRPr="006E388F">
        <w:rPr>
          <w:rFonts w:asciiTheme="majorBidi" w:hAnsiTheme="majorBidi" w:cstheme="majorBidi"/>
          <w:i/>
          <w:iCs/>
          <w:sz w:val="24"/>
          <w:szCs w:val="24"/>
        </w:rPr>
        <w:t xml:space="preserve">Psychological Bulletin, </w:t>
      </w:r>
      <w:r w:rsidR="00B278B9" w:rsidRPr="006E388F">
        <w:rPr>
          <w:rFonts w:asciiTheme="majorBidi" w:hAnsiTheme="majorBidi" w:cstheme="majorBidi"/>
          <w:sz w:val="24"/>
          <w:szCs w:val="24"/>
        </w:rPr>
        <w:t>103(3), 411-423.</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Andres, P. De, &amp; Vallelado, E. (2008). Corporate governance in banking: The role of the board of directors</w:t>
      </w:r>
      <w:r w:rsidRPr="006E388F">
        <w:rPr>
          <w:rFonts w:asciiTheme="majorBidi" w:hAnsiTheme="majorBidi" w:cstheme="majorBidi"/>
          <w:i/>
          <w:iCs/>
        </w:rPr>
        <w:t>. Journal of Banking &amp; Finance</w:t>
      </w:r>
      <w:r w:rsidRPr="006E388F">
        <w:rPr>
          <w:rFonts w:asciiTheme="majorBidi" w:hAnsiTheme="majorBidi" w:cstheme="majorBidi"/>
        </w:rPr>
        <w:t xml:space="preserve">, 32(12), 2570–2580. </w:t>
      </w:r>
      <w:hyperlink r:id="rId10" w:history="1">
        <w:r w:rsidRPr="006E388F">
          <w:rPr>
            <w:rStyle w:val="Hyperlink"/>
            <w:rFonts w:asciiTheme="majorBidi" w:hAnsiTheme="majorBidi" w:cstheme="majorBidi"/>
          </w:rPr>
          <w:t>http://doi.org/10.1016/j.jbankfin.2008.05.008</w:t>
        </w:r>
      </w:hyperlink>
      <w:r w:rsidRPr="006E388F">
        <w:rPr>
          <w:rFonts w:asciiTheme="majorBidi" w:hAnsiTheme="majorBidi" w:cstheme="majorBidi"/>
        </w:rPr>
        <w:t>.</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Archer, S., &amp; Karim, R. A. A. (2007). Supervision of Islamic Banks and Basel II: The Regulatory Challenge. In S. Archer &amp; R. A. A. Karim (Ed.).</w:t>
      </w:r>
      <w:r w:rsidRPr="006E388F">
        <w:rPr>
          <w:rFonts w:asciiTheme="majorBidi" w:hAnsiTheme="majorBidi" w:cstheme="majorBidi"/>
          <w:i/>
          <w:iCs/>
        </w:rPr>
        <w:t xml:space="preserve"> Islamic Finance: The Regulatory Challenge </w:t>
      </w:r>
      <w:r w:rsidRPr="006E388F">
        <w:rPr>
          <w:rFonts w:asciiTheme="majorBidi" w:hAnsiTheme="majorBidi" w:cstheme="majorBidi"/>
        </w:rPr>
        <w:t>(pp. 1-7). Singapore: John Wiley &amp; Sons (Asia) Pte Ltd.</w:t>
      </w:r>
    </w:p>
    <w:p w:rsidR="00B278B9"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Archer, S., Ahmed, R., &amp; Karim, A. (1998). Financial Contracting, Governance Structures and the Account</w:t>
      </w:r>
      <w:r w:rsidR="001510D5">
        <w:rPr>
          <w:rFonts w:asciiTheme="majorBidi" w:hAnsiTheme="majorBidi" w:cstheme="majorBidi"/>
        </w:rPr>
        <w:t>ing Regulation of Islamic Banks</w:t>
      </w:r>
      <w:r w:rsidRPr="006E388F">
        <w:rPr>
          <w:rFonts w:asciiTheme="majorBidi" w:hAnsiTheme="majorBidi" w:cstheme="majorBidi"/>
        </w:rPr>
        <w:t xml:space="preserve">: An Analysis in Terms of Agency Theory and Transaction Cost Economics. </w:t>
      </w:r>
      <w:r w:rsidRPr="006E388F">
        <w:rPr>
          <w:rFonts w:asciiTheme="majorBidi" w:hAnsiTheme="majorBidi" w:cstheme="majorBidi"/>
          <w:i/>
          <w:iCs/>
        </w:rPr>
        <w:t>Journal of Management &amp; Governance</w:t>
      </w:r>
      <w:r w:rsidRPr="006E388F">
        <w:rPr>
          <w:rFonts w:asciiTheme="majorBidi" w:hAnsiTheme="majorBidi" w:cstheme="majorBidi"/>
        </w:rPr>
        <w:t>, 2, 149–170.</w:t>
      </w:r>
    </w:p>
    <w:p w:rsidR="00165430" w:rsidRPr="00EF0510" w:rsidRDefault="00165430" w:rsidP="007B11BF">
      <w:pPr>
        <w:pStyle w:val="BodyTextFirstIndent"/>
        <w:spacing w:after="0"/>
        <w:ind w:left="602" w:hanging="602"/>
        <w:jc w:val="both"/>
        <w:rPr>
          <w:rFonts w:ascii="Times New Roman" w:hAnsi="Times New Roman" w:cs="Times New Roman"/>
          <w:sz w:val="24"/>
          <w:szCs w:val="24"/>
          <w:lang w:val="en-US"/>
        </w:rPr>
      </w:pPr>
      <w:r w:rsidRPr="00EF0510">
        <w:rPr>
          <w:rFonts w:ascii="Times New Roman" w:hAnsi="Times New Roman" w:cs="Times New Roman"/>
          <w:sz w:val="24"/>
          <w:szCs w:val="24"/>
        </w:rPr>
        <w:t xml:space="preserve">Bakalikwira, L., Bananuka, J., Kaawaase, T.K., Musimenta, D. and Mukyala, V. (2017), </w:t>
      </w:r>
      <w:r w:rsidRPr="00EF0510">
        <w:rPr>
          <w:rFonts w:ascii="Times New Roman" w:hAnsi="Times New Roman" w:cs="Times New Roman"/>
          <w:sz w:val="24"/>
          <w:szCs w:val="24"/>
        </w:rPr>
        <w:br/>
        <w:t>“Accountability in the Public Healthcare Systems: A developing economy perspective”, Cogent Busine</w:t>
      </w:r>
      <w:r w:rsidR="00F22AB5" w:rsidRPr="00EF0510">
        <w:rPr>
          <w:rFonts w:ascii="Times New Roman" w:hAnsi="Times New Roman" w:cs="Times New Roman"/>
          <w:sz w:val="24"/>
          <w:szCs w:val="24"/>
        </w:rPr>
        <w:t>ss and Management, 4 (</w:t>
      </w:r>
      <w:r w:rsidRPr="00EF0510">
        <w:rPr>
          <w:rFonts w:ascii="Times New Roman" w:hAnsi="Times New Roman" w:cs="Times New Roman"/>
          <w:sz w:val="24"/>
          <w:szCs w:val="24"/>
        </w:rPr>
        <w:t>1334955</w:t>
      </w:r>
      <w:r w:rsidR="00F22AB5" w:rsidRPr="00EF0510">
        <w:rPr>
          <w:rFonts w:ascii="Times New Roman" w:hAnsi="Times New Roman" w:cs="Times New Roman"/>
          <w:sz w:val="24"/>
          <w:szCs w:val="24"/>
        </w:rPr>
        <w:t xml:space="preserve">), </w:t>
      </w:r>
      <w:r w:rsidRPr="00EF0510">
        <w:rPr>
          <w:rFonts w:ascii="Times New Roman" w:hAnsi="Times New Roman" w:cs="Times New Roman"/>
          <w:sz w:val="24"/>
          <w:szCs w:val="24"/>
        </w:rPr>
        <w:t>1-8.</w:t>
      </w:r>
    </w:p>
    <w:p w:rsidR="00B278B9" w:rsidRPr="006E388F" w:rsidRDefault="00B278B9" w:rsidP="007B11BF">
      <w:pPr>
        <w:pStyle w:val="BodyText"/>
        <w:spacing w:line="240" w:lineRule="auto"/>
        <w:ind w:left="602" w:hanging="602"/>
        <w:rPr>
          <w:rFonts w:asciiTheme="majorBidi" w:hAnsiTheme="majorBidi" w:cstheme="majorBidi"/>
        </w:rPr>
      </w:pPr>
      <w:r w:rsidRPr="006E388F">
        <w:rPr>
          <w:rFonts w:asciiTheme="majorBidi" w:hAnsiTheme="majorBidi" w:cstheme="majorBidi"/>
        </w:rPr>
        <w:t>Bank Negara Malaysia. (2004). Guidelines on the Governance of Sharīʿah Committee for the IFIs. Kuala Lumpur: Bank Negara Malaysia. Available at: http://www.bnm.gov.my/guidelines/01_banking/04_prudential_stds/23_gps.pdf.</w:t>
      </w:r>
    </w:p>
    <w:p w:rsidR="00B278B9" w:rsidRPr="006E388F" w:rsidRDefault="00B278B9" w:rsidP="006E388F">
      <w:pPr>
        <w:pStyle w:val="BodyText"/>
        <w:spacing w:line="240" w:lineRule="auto"/>
        <w:ind w:left="602" w:hanging="602"/>
        <w:rPr>
          <w:rFonts w:asciiTheme="majorBidi" w:hAnsiTheme="majorBidi" w:cstheme="majorBidi"/>
        </w:rPr>
      </w:pPr>
      <w:r w:rsidRPr="006E388F">
        <w:rPr>
          <w:rFonts w:asciiTheme="majorBidi" w:hAnsiTheme="majorBidi" w:cstheme="majorBidi"/>
        </w:rPr>
        <w:t xml:space="preserve">Bank Negara Malaysia. (2005) Guidelines on the Governance of Shari’ah Committee. (BNM/RH/GL/005-6), Available at:  http://www.bnm.gov.my/guidelines/01_banking/04_prudential_stds/23_gps.pdf. </w:t>
      </w:r>
    </w:p>
    <w:p w:rsidR="00D15658"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Bank Negara Malaysia. (2011). Shari’ah Governance Framework for Islamic Financial Institutions. (BNM/RH/GL_012_3), Available at:  http://www.bnm.gov.my/guidelines/05_Shari’ah/02_Shari’ah_Governance_Framework_20101026.pdf. </w:t>
      </w:r>
    </w:p>
    <w:p w:rsidR="00D15658" w:rsidRPr="006E388F" w:rsidRDefault="00D15658"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Badreldin. A.M. (2009). Measuring the Performance of Islamic Banks by Adapting Conventional Ratios, German University in Cairo, Faculty of Management Technology, WP No. 16.</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Belkhir, M. (2009). Board of directors’ size and performance in the banking industry. </w:t>
      </w:r>
      <w:r w:rsidRPr="006E388F">
        <w:rPr>
          <w:rFonts w:asciiTheme="majorBidi" w:hAnsiTheme="majorBidi" w:cstheme="majorBidi"/>
          <w:i/>
          <w:iCs/>
        </w:rPr>
        <w:t>International Journal of Managerial Finance</w:t>
      </w:r>
      <w:r w:rsidRPr="006E388F">
        <w:rPr>
          <w:rFonts w:asciiTheme="majorBidi" w:hAnsiTheme="majorBidi" w:cstheme="majorBidi"/>
        </w:rPr>
        <w:t xml:space="preserve"> 5(2), 201–221. http://doi.org/10.1108/17439130910947903.</w:t>
      </w:r>
    </w:p>
    <w:p w:rsidR="00B278B9"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lastRenderedPageBreak/>
        <w:t xml:space="preserve">Bhatti, M. and Bhatti, M. I. (2010). Towards Understanding Islamic Corporate Governance Issues in Islamic Finance. </w:t>
      </w:r>
      <w:r w:rsidRPr="006E388F">
        <w:rPr>
          <w:rFonts w:asciiTheme="majorBidi" w:hAnsiTheme="majorBidi" w:cstheme="majorBidi"/>
          <w:i/>
          <w:iCs/>
        </w:rPr>
        <w:t>Asian Politics and Policy</w:t>
      </w:r>
      <w:r w:rsidRPr="006E388F">
        <w:rPr>
          <w:rFonts w:asciiTheme="majorBidi" w:hAnsiTheme="majorBidi" w:cstheme="majorBidi"/>
        </w:rPr>
        <w:t xml:space="preserve"> 2(1), 25-38.</w:t>
      </w:r>
    </w:p>
    <w:p w:rsidR="00AD30CF" w:rsidRPr="00AD30CF" w:rsidRDefault="00AD30CF" w:rsidP="00AD30CF">
      <w:pPr>
        <w:pStyle w:val="BodyTextFirstIndent"/>
        <w:spacing w:after="0"/>
        <w:ind w:left="686" w:hanging="686"/>
        <w:jc w:val="both"/>
        <w:rPr>
          <w:rFonts w:ascii="Times New Roman" w:hAnsi="Times New Roman" w:cs="Times New Roman"/>
          <w:sz w:val="24"/>
          <w:szCs w:val="24"/>
          <w:lang w:val="en-US"/>
        </w:rPr>
      </w:pPr>
      <w:r w:rsidRPr="00AD30CF">
        <w:rPr>
          <w:rFonts w:ascii="Times New Roman" w:hAnsi="Times New Roman" w:cs="Times New Roman"/>
          <w:sz w:val="24"/>
          <w:szCs w:val="24"/>
        </w:rPr>
        <w:t>Bontis, N., Chua Chong Keow, W., &amp; Richardson, S. (2000). Intellectual capital and business performance in Ma</w:t>
      </w:r>
      <w:r>
        <w:rPr>
          <w:rFonts w:ascii="Times New Roman" w:hAnsi="Times New Roman" w:cs="Times New Roman"/>
          <w:sz w:val="24"/>
          <w:szCs w:val="24"/>
        </w:rPr>
        <w:t>laysian industries. Journal of I</w:t>
      </w:r>
      <w:r w:rsidRPr="00AD30CF">
        <w:rPr>
          <w:rFonts w:ascii="Times New Roman" w:hAnsi="Times New Roman" w:cs="Times New Roman"/>
          <w:sz w:val="24"/>
          <w:szCs w:val="24"/>
        </w:rPr>
        <w:t>ntelle</w:t>
      </w:r>
      <w:r>
        <w:rPr>
          <w:rFonts w:ascii="Times New Roman" w:hAnsi="Times New Roman" w:cs="Times New Roman"/>
          <w:sz w:val="24"/>
          <w:szCs w:val="24"/>
        </w:rPr>
        <w:t>ctual Capital. 1(</w:t>
      </w:r>
      <w:r w:rsidRPr="00AD30CF">
        <w:rPr>
          <w:rFonts w:ascii="Times New Roman" w:hAnsi="Times New Roman" w:cs="Times New Roman"/>
          <w:sz w:val="24"/>
          <w:szCs w:val="24"/>
        </w:rPr>
        <w:t>1</w:t>
      </w:r>
      <w:r>
        <w:rPr>
          <w:rFonts w:ascii="Times New Roman" w:hAnsi="Times New Roman" w:cs="Times New Roman"/>
          <w:sz w:val="24"/>
          <w:szCs w:val="24"/>
        </w:rPr>
        <w:t xml:space="preserve">). </w:t>
      </w:r>
      <w:r w:rsidRPr="00AD30CF">
        <w:rPr>
          <w:rFonts w:ascii="Times New Roman" w:hAnsi="Times New Roman" w:cs="Times New Roman"/>
          <w:sz w:val="24"/>
          <w:szCs w:val="24"/>
        </w:rPr>
        <w:t>85-100.</w:t>
      </w:r>
      <w:r w:rsidRPr="00AD30CF">
        <w:rPr>
          <w:rFonts w:ascii="Times New Roman" w:hAnsi="Times New Roman" w:cs="Times New Roman"/>
          <w:sz w:val="24"/>
          <w:szCs w:val="24"/>
        </w:rPr>
        <w:br/>
      </w:r>
    </w:p>
    <w:p w:rsidR="00B278B9" w:rsidRPr="006E388F" w:rsidRDefault="00B278B9" w:rsidP="00AD30CF">
      <w:pPr>
        <w:pStyle w:val="BodyText"/>
        <w:spacing w:line="240" w:lineRule="auto"/>
        <w:ind w:left="686" w:hanging="686"/>
        <w:rPr>
          <w:rFonts w:asciiTheme="majorBidi" w:hAnsiTheme="majorBidi" w:cstheme="majorBidi"/>
        </w:rPr>
      </w:pPr>
      <w:r w:rsidRPr="00AD30CF">
        <w:t>Chapra,</w:t>
      </w:r>
      <w:r w:rsidRPr="006E388F">
        <w:rPr>
          <w:rFonts w:asciiTheme="majorBidi" w:hAnsiTheme="majorBidi" w:cstheme="majorBidi"/>
        </w:rPr>
        <w:t xml:space="preserve"> M</w:t>
      </w:r>
      <w:r w:rsidR="00AD30CF">
        <w:rPr>
          <w:rFonts w:asciiTheme="majorBidi" w:hAnsiTheme="majorBidi" w:cstheme="majorBidi"/>
        </w:rPr>
        <w:t>.U. (2000). Is it Necessary to h</w:t>
      </w:r>
      <w:r w:rsidRPr="006E388F">
        <w:rPr>
          <w:rFonts w:asciiTheme="majorBidi" w:hAnsiTheme="majorBidi" w:cstheme="majorBidi"/>
        </w:rPr>
        <w:t xml:space="preserve">ave Islamic Economic? </w:t>
      </w:r>
      <w:r w:rsidRPr="006E388F">
        <w:rPr>
          <w:rFonts w:asciiTheme="majorBidi" w:hAnsiTheme="majorBidi" w:cstheme="majorBidi"/>
          <w:i/>
          <w:iCs/>
        </w:rPr>
        <w:t>Journal of Socio Economic</w:t>
      </w:r>
      <w:r w:rsidRPr="006E388F">
        <w:rPr>
          <w:rFonts w:asciiTheme="majorBidi" w:hAnsiTheme="majorBidi" w:cstheme="majorBidi"/>
        </w:rPr>
        <w:t xml:space="preserve"> 9, 21-37.</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Chapra, M.U. (2011). Introduction to Islamic Economics and Finance. In Langton, J., Trullols, C. and Turkistani, A.Q. (Ed.). </w:t>
      </w:r>
      <w:r w:rsidRPr="006E388F">
        <w:rPr>
          <w:rFonts w:asciiTheme="majorBidi" w:hAnsiTheme="majorBidi" w:cstheme="majorBidi"/>
          <w:i/>
          <w:iCs/>
        </w:rPr>
        <w:t>Islamic Economics and Finance:  A European Perspective</w:t>
      </w:r>
      <w:r w:rsidRPr="006E388F">
        <w:rPr>
          <w:rFonts w:asciiTheme="majorBidi" w:hAnsiTheme="majorBidi" w:cstheme="majorBidi"/>
        </w:rPr>
        <w:t xml:space="preserve"> (pp. 33-68). New York: Palgrave Macmillan.</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Choudhury, M. A. (2013). Corporate governance in Islamic perspective. </w:t>
      </w:r>
      <w:r w:rsidRPr="006E388F">
        <w:rPr>
          <w:rFonts w:asciiTheme="majorBidi" w:hAnsiTheme="majorBidi" w:cstheme="majorBidi"/>
          <w:i/>
          <w:iCs/>
        </w:rPr>
        <w:t>International Journal of Islamic and Middle Eastern Finance and Management</w:t>
      </w:r>
      <w:r w:rsidRPr="006E388F">
        <w:rPr>
          <w:rFonts w:asciiTheme="majorBidi" w:hAnsiTheme="majorBidi" w:cstheme="majorBidi"/>
        </w:rPr>
        <w:t xml:space="preserve"> 6(3), 180–199. http://doi.org/10.1108/IMEFM-10-2012-0101</w:t>
      </w:r>
    </w:p>
    <w:p w:rsidR="00B278B9" w:rsidRPr="00EF0510" w:rsidRDefault="00B278B9" w:rsidP="006E388F">
      <w:pPr>
        <w:pStyle w:val="BodyText"/>
        <w:spacing w:line="240" w:lineRule="auto"/>
        <w:ind w:left="686" w:hanging="686"/>
        <w:rPr>
          <w:rFonts w:asciiTheme="majorBidi" w:hAnsiTheme="majorBidi" w:cstheme="majorBidi"/>
        </w:rPr>
      </w:pPr>
      <w:r w:rsidRPr="00EF0510">
        <w:rPr>
          <w:rFonts w:asciiTheme="majorBidi" w:hAnsiTheme="majorBidi" w:cstheme="majorBidi"/>
        </w:rPr>
        <w:t xml:space="preserve">Choudhury, M.A. and Hoque, M. Z. (2006). Corporate governance in Islamic perspective. </w:t>
      </w:r>
      <w:r w:rsidRPr="00EF0510">
        <w:rPr>
          <w:rFonts w:asciiTheme="majorBidi" w:hAnsiTheme="majorBidi" w:cstheme="majorBidi"/>
          <w:i/>
          <w:iCs/>
        </w:rPr>
        <w:t>Corporate Governance</w:t>
      </w:r>
      <w:r w:rsidRPr="00EF0510">
        <w:rPr>
          <w:rFonts w:asciiTheme="majorBidi" w:hAnsiTheme="majorBidi" w:cstheme="majorBidi"/>
        </w:rPr>
        <w:t xml:space="preserve"> 6(2), 116-128.</w:t>
      </w:r>
    </w:p>
    <w:p w:rsidR="003F78DA" w:rsidRPr="00EF0510" w:rsidRDefault="003F78DA" w:rsidP="0096743F">
      <w:pPr>
        <w:pStyle w:val="BodyTextFirstIndent"/>
        <w:spacing w:after="0"/>
        <w:ind w:left="720" w:hanging="720"/>
        <w:rPr>
          <w:rFonts w:ascii="Times New Roman" w:hAnsi="Times New Roman" w:cs="Times New Roman"/>
          <w:sz w:val="24"/>
          <w:szCs w:val="24"/>
          <w:lang w:val="en-US"/>
        </w:rPr>
      </w:pPr>
      <w:r w:rsidRPr="00EF0510">
        <w:rPr>
          <w:rFonts w:ascii="Times New Roman" w:hAnsi="Times New Roman" w:cs="Times New Roman"/>
          <w:sz w:val="24"/>
          <w:szCs w:val="24"/>
        </w:rPr>
        <w:t>Clarke, M., Seng, D., and Whiting, R.H. (2011). Intellectual capital and firm performance in Australia. Journal of Intellectual Capital. 12 (4). 505 – 530.</w:t>
      </w:r>
      <w:r w:rsidRPr="00EF0510">
        <w:rPr>
          <w:rFonts w:ascii="Times New Roman" w:hAnsi="Times New Roman" w:cs="Times New Roman"/>
          <w:sz w:val="24"/>
          <w:szCs w:val="24"/>
        </w:rPr>
        <w:br/>
      </w:r>
    </w:p>
    <w:p w:rsidR="00B278B9" w:rsidRPr="006E388F" w:rsidRDefault="00B278B9" w:rsidP="0096743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Darmadi, S. (2013). Corporate governance disclosure in the annual report: An exploratory study on Indonesian Islamic banks. </w:t>
      </w:r>
      <w:r w:rsidRPr="006E388F">
        <w:rPr>
          <w:rFonts w:asciiTheme="majorBidi" w:hAnsiTheme="majorBidi" w:cstheme="majorBidi"/>
          <w:i/>
          <w:iCs/>
        </w:rPr>
        <w:t>Humanomics</w:t>
      </w:r>
      <w:r w:rsidRPr="006E388F">
        <w:rPr>
          <w:rFonts w:asciiTheme="majorBidi" w:hAnsiTheme="majorBidi" w:cstheme="majorBidi"/>
        </w:rPr>
        <w:t xml:space="preserve"> 29(1), 4–23. http://doi.org/10.1108/08288661311299295</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Diamantopoulos A., &amp; Siguaw, J.A. (2006). Formative versus reflective indicators in organizational measure development: A comparison &amp; empirical illustration. </w:t>
      </w:r>
      <w:r w:rsidRPr="006E388F">
        <w:rPr>
          <w:rFonts w:asciiTheme="majorBidi" w:hAnsiTheme="majorBidi" w:cstheme="majorBidi"/>
          <w:i/>
          <w:iCs/>
        </w:rPr>
        <w:t>British Journal of Management</w:t>
      </w:r>
      <w:r w:rsidRPr="006E388F">
        <w:rPr>
          <w:rFonts w:asciiTheme="majorBidi" w:hAnsiTheme="majorBidi" w:cstheme="majorBidi"/>
        </w:rPr>
        <w:t xml:space="preserve"> (17) 263-282.</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Diamantopoulos A., &amp; Winklhofer, H. M. (2001). Index construction with formative indicators: An alternative to scale development. </w:t>
      </w:r>
      <w:r w:rsidRPr="006E388F">
        <w:rPr>
          <w:rFonts w:asciiTheme="majorBidi" w:hAnsiTheme="majorBidi" w:cstheme="majorBidi"/>
          <w:i/>
          <w:iCs/>
        </w:rPr>
        <w:t>Journal of Marketing Research</w:t>
      </w:r>
      <w:r w:rsidRPr="006E388F">
        <w:rPr>
          <w:rFonts w:asciiTheme="majorBidi" w:hAnsiTheme="majorBidi" w:cstheme="majorBidi"/>
        </w:rPr>
        <w:t xml:space="preserve"> (38), 269-177.</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Dubnick, M. J. (2006). Orders of Accountability. World Ethics Forum - Leadership, Ethics and Integrity in Public Life.</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Dusuki, A. W. &amp; Abdullah, N. I. (2011). Fundamental of Islamic Banking, IBFIM, Kuala Lumpur.</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Farook, S., Hassan, M. K., &amp; Lanis, R. (2011). Determinants of corporate social responsibility disclosure: the case of Islamic banks. </w:t>
      </w:r>
      <w:r w:rsidRPr="006E388F">
        <w:rPr>
          <w:rFonts w:asciiTheme="majorBidi" w:hAnsiTheme="majorBidi" w:cstheme="majorBidi"/>
          <w:i/>
          <w:iCs/>
        </w:rPr>
        <w:t>Journal of Islamic Accounting and Business Research</w:t>
      </w:r>
      <w:r w:rsidRPr="006E388F">
        <w:rPr>
          <w:rFonts w:asciiTheme="majorBidi" w:hAnsiTheme="majorBidi" w:cstheme="majorBidi"/>
        </w:rPr>
        <w:t xml:space="preserve"> 2(2), 114–141. http://doi.org/10.1108/17590811111170539</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Garas, S. N. (2012). The conflicts of interest inside the Shari'a supervisory board. </w:t>
      </w:r>
      <w:r w:rsidRPr="006E388F">
        <w:rPr>
          <w:rFonts w:asciiTheme="majorBidi" w:hAnsiTheme="majorBidi" w:cstheme="majorBidi"/>
          <w:i/>
          <w:iCs/>
        </w:rPr>
        <w:t>International Journal of Islamic and Middle Eastern Finance and Management</w:t>
      </w:r>
      <w:r w:rsidRPr="006E388F">
        <w:rPr>
          <w:rFonts w:asciiTheme="majorBidi" w:hAnsiTheme="majorBidi" w:cstheme="majorBidi"/>
        </w:rPr>
        <w:t xml:space="preserve"> 5(2), 88-105.</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Ghayad, R. (2008). Corporate governance and the global performance of Islamic banks. </w:t>
      </w:r>
      <w:r w:rsidRPr="006E388F">
        <w:rPr>
          <w:rFonts w:asciiTheme="majorBidi" w:hAnsiTheme="majorBidi" w:cstheme="majorBidi"/>
          <w:i/>
          <w:iCs/>
        </w:rPr>
        <w:t>Humanomics</w:t>
      </w:r>
      <w:r w:rsidRPr="006E388F">
        <w:rPr>
          <w:rFonts w:asciiTheme="majorBidi" w:hAnsiTheme="majorBidi" w:cstheme="majorBidi"/>
        </w:rPr>
        <w:t xml:space="preserve"> 24(3), 207–216. </w:t>
      </w:r>
      <w:hyperlink r:id="rId11" w:history="1">
        <w:r w:rsidRPr="006E388F">
          <w:rPr>
            <w:rStyle w:val="Hyperlink"/>
            <w:rFonts w:asciiTheme="majorBidi" w:hAnsiTheme="majorBidi" w:cstheme="majorBidi"/>
          </w:rPr>
          <w:t>http://doi.org/10.1108/08288660810899368</w:t>
        </w:r>
      </w:hyperlink>
    </w:p>
    <w:p w:rsidR="00B278B9" w:rsidRPr="006E388F" w:rsidRDefault="00B278B9" w:rsidP="006E388F">
      <w:pPr>
        <w:spacing w:after="0" w:line="240" w:lineRule="auto"/>
        <w:ind w:left="709" w:hanging="709"/>
        <w:jc w:val="both"/>
        <w:rPr>
          <w:rFonts w:asciiTheme="majorBidi" w:hAnsiTheme="majorBidi" w:cstheme="majorBidi"/>
          <w:sz w:val="24"/>
          <w:szCs w:val="24"/>
        </w:rPr>
      </w:pPr>
      <w:r w:rsidRPr="006E388F">
        <w:rPr>
          <w:rFonts w:asciiTheme="majorBidi" w:hAnsiTheme="majorBidi" w:cstheme="majorBidi"/>
          <w:sz w:val="24"/>
          <w:szCs w:val="24"/>
        </w:rPr>
        <w:t xml:space="preserve">Gholami, R., Sulaiman, A. B., Ramayah, T., &amp; Molla, A. (2013). Senior managers’ perception on green information systems (IS) adoption and environmental performance: results from a field survey. </w:t>
      </w:r>
      <w:r w:rsidRPr="006E388F">
        <w:rPr>
          <w:rFonts w:asciiTheme="majorBidi" w:hAnsiTheme="majorBidi" w:cstheme="majorBidi"/>
          <w:i/>
          <w:sz w:val="24"/>
          <w:szCs w:val="24"/>
        </w:rPr>
        <w:t>Information and Management</w:t>
      </w:r>
      <w:r w:rsidRPr="006E388F">
        <w:rPr>
          <w:rFonts w:asciiTheme="majorBidi" w:hAnsiTheme="majorBidi" w:cstheme="majorBidi"/>
          <w:sz w:val="24"/>
          <w:szCs w:val="24"/>
        </w:rPr>
        <w:t>, 50(7), 431–438.</w:t>
      </w:r>
    </w:p>
    <w:p w:rsidR="00B278B9" w:rsidRPr="006E388F" w:rsidRDefault="00B278B9" w:rsidP="006E388F">
      <w:pPr>
        <w:spacing w:after="0" w:line="240" w:lineRule="auto"/>
        <w:ind w:left="709" w:hanging="709"/>
        <w:jc w:val="both"/>
        <w:rPr>
          <w:rFonts w:asciiTheme="majorBidi" w:hAnsiTheme="majorBidi" w:cstheme="majorBidi"/>
          <w:sz w:val="24"/>
          <w:szCs w:val="24"/>
          <w:lang w:val="en-GB"/>
        </w:rPr>
      </w:pPr>
      <w:r w:rsidRPr="006E388F">
        <w:rPr>
          <w:rFonts w:asciiTheme="majorBidi" w:hAnsiTheme="majorBidi" w:cstheme="majorBidi"/>
          <w:sz w:val="24"/>
          <w:szCs w:val="24"/>
        </w:rPr>
        <w:t>Gotz, O., K. Liehr-Gobbers &amp; M. Krafft. (2010). Evaluation of Structural Equation Models Using the Partial Least Squares (PLS) Approach. In: Esposito Vinzi, V.,</w:t>
      </w:r>
      <w:r w:rsidRPr="006E388F">
        <w:rPr>
          <w:rStyle w:val="Emphasis"/>
          <w:rFonts w:asciiTheme="majorBidi" w:hAnsiTheme="majorBidi" w:cstheme="majorBidi"/>
          <w:sz w:val="24"/>
          <w:szCs w:val="24"/>
        </w:rPr>
        <w:t xml:space="preserve"> et al.</w:t>
      </w:r>
      <w:r w:rsidRPr="006E388F">
        <w:rPr>
          <w:rFonts w:asciiTheme="majorBidi" w:hAnsiTheme="majorBidi" w:cstheme="majorBidi"/>
          <w:sz w:val="24"/>
          <w:szCs w:val="24"/>
        </w:rPr>
        <w:t>, Handbook of Partial Least Squares. Springer Handbooks of Computational Statistics, pp: 691-711, DOI: 10.1007/978-3-540-32827-8 30.</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Grais, W., and Pellegrini, M. (2006). Corporate Governance and Sharīʿah Compliance in Institutions Offering Islamic Financial Services. World Bank Policy Research Working Paper No. 4054. Available at: http://www-wds.worldbank.org/external/default/WDSContentServer/IW3P/IB/2006/11/08/000016406_20061108095535/Rendered/PDF/wps4054.pdf. </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lastRenderedPageBreak/>
        <w:t xml:space="preserve">Hair, J.F, Hult, G.T.M., Ringle, C.M., Sarstedt, M. (2017). A Primer on Partial Least Squares Structural Equation Modeling (PLS-SEM). Thousand Oaks: SAGE Publications. </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Hamza, H. (2013). Sharia governance in Islamic banks: effectiveness and supervision model. </w:t>
      </w:r>
      <w:r w:rsidRPr="006E388F">
        <w:rPr>
          <w:rFonts w:asciiTheme="majorBidi" w:hAnsiTheme="majorBidi" w:cstheme="majorBidi"/>
          <w:i/>
          <w:iCs/>
        </w:rPr>
        <w:t>International Journal of Islamic and Middle Eastern Finance and Management</w:t>
      </w:r>
      <w:r w:rsidRPr="006E388F">
        <w:rPr>
          <w:rFonts w:asciiTheme="majorBidi" w:hAnsiTheme="majorBidi" w:cstheme="majorBidi"/>
        </w:rPr>
        <w:t xml:space="preserve"> 6(3), 226-237.</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Haniffa, R. &amp; Hudaib, M. (2006). Corporate governance structure and performance of Malaysian listed firms. </w:t>
      </w:r>
      <w:r w:rsidRPr="006E388F">
        <w:rPr>
          <w:rFonts w:asciiTheme="majorBidi" w:hAnsiTheme="majorBidi" w:cstheme="majorBidi"/>
          <w:i/>
          <w:iCs/>
        </w:rPr>
        <w:t>Journal of Business Finance &amp; Accounting</w:t>
      </w:r>
      <w:r w:rsidRPr="006E388F">
        <w:rPr>
          <w:rFonts w:asciiTheme="majorBidi" w:hAnsiTheme="majorBidi" w:cstheme="majorBidi"/>
        </w:rPr>
        <w:t xml:space="preserve"> 33(7) &amp; (8), 1034-1062.</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Haniffa, R., &amp; Hudaib, M. (2007). Exploring the Ethical Identity of Islamic Banks via Communication in Annual Reports. </w:t>
      </w:r>
      <w:r w:rsidRPr="006E388F">
        <w:rPr>
          <w:rFonts w:asciiTheme="majorBidi" w:hAnsiTheme="majorBidi" w:cstheme="majorBidi"/>
          <w:i/>
          <w:iCs/>
        </w:rPr>
        <w:t>Journal of Business Ethics</w:t>
      </w:r>
      <w:r w:rsidRPr="006E388F">
        <w:rPr>
          <w:rFonts w:asciiTheme="majorBidi" w:hAnsiTheme="majorBidi" w:cstheme="majorBidi"/>
        </w:rPr>
        <w:t xml:space="preserve"> 76, 97–116. http://doi.org/10.1007/s10551-006-9272-5</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Harahap, S. S. (2003). Man</w:t>
      </w:r>
      <w:r w:rsidR="00176589">
        <w:rPr>
          <w:rFonts w:asciiTheme="majorBidi" w:hAnsiTheme="majorBidi" w:cstheme="majorBidi"/>
        </w:rPr>
        <w:t>agerial Finance Emerald Article</w:t>
      </w:r>
      <w:r w:rsidRPr="006E388F">
        <w:rPr>
          <w:rFonts w:asciiTheme="majorBidi" w:hAnsiTheme="majorBidi" w:cstheme="majorBidi"/>
        </w:rPr>
        <w:t>: The Disclosure of Islamic Values - The Analysis of Bank Muamalat Indonesia’s Annual Report.</w:t>
      </w:r>
      <w:r w:rsidRPr="006E388F">
        <w:rPr>
          <w:rFonts w:asciiTheme="majorBidi" w:hAnsiTheme="majorBidi" w:cstheme="majorBidi"/>
          <w:i/>
          <w:iCs/>
        </w:rPr>
        <w:t xml:space="preserve"> Managerial Finance </w:t>
      </w:r>
      <w:r w:rsidRPr="006E388F">
        <w:rPr>
          <w:rFonts w:asciiTheme="majorBidi" w:hAnsiTheme="majorBidi" w:cstheme="majorBidi"/>
        </w:rPr>
        <w:t>29(7), 70–89. http://doi.org/10.1108/03074350310768355</w:t>
      </w:r>
    </w:p>
    <w:p w:rsidR="00B278B9" w:rsidRPr="006E388F" w:rsidRDefault="00D066DA"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Hasan, Z. (2011</w:t>
      </w:r>
      <w:r w:rsidR="00B278B9" w:rsidRPr="006E388F">
        <w:rPr>
          <w:rFonts w:asciiTheme="majorBidi" w:hAnsiTheme="majorBidi" w:cstheme="majorBidi"/>
        </w:rPr>
        <w:t xml:space="preserve">). A survey on Shari’ah governance practices in Malaysia, GCC countries and the UK: Critical appraisal. </w:t>
      </w:r>
      <w:r w:rsidR="00B278B9" w:rsidRPr="006E388F">
        <w:rPr>
          <w:rFonts w:asciiTheme="majorBidi" w:hAnsiTheme="majorBidi" w:cstheme="majorBidi"/>
          <w:i/>
          <w:iCs/>
        </w:rPr>
        <w:t>International Journal of Islamic and Middle Eastern Finance and Management</w:t>
      </w:r>
      <w:r w:rsidR="00B278B9" w:rsidRPr="006E388F">
        <w:rPr>
          <w:rFonts w:asciiTheme="majorBidi" w:hAnsiTheme="majorBidi" w:cstheme="majorBidi"/>
        </w:rPr>
        <w:t xml:space="preserve"> 4(1), 30–51. http://doi.org/10.1108/17538391111122195</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Hassan Al-Tamimi, H. A., &amp; Charif, H. (2011). Multiple approaches in performance assessment of UAE commercial banks. </w:t>
      </w:r>
      <w:r w:rsidRPr="006E388F">
        <w:rPr>
          <w:rFonts w:asciiTheme="majorBidi" w:hAnsiTheme="majorBidi" w:cstheme="majorBidi"/>
          <w:i/>
          <w:iCs/>
        </w:rPr>
        <w:t>International Journal of Islamic and Middle Eastern Finance and Management</w:t>
      </w:r>
      <w:r w:rsidRPr="006E388F">
        <w:rPr>
          <w:rFonts w:asciiTheme="majorBidi" w:hAnsiTheme="majorBidi" w:cstheme="majorBidi"/>
        </w:rPr>
        <w:t xml:space="preserve"> 4(1), 74–82. http://doi.org/10.1108/17538391111122212</w:t>
      </w:r>
    </w:p>
    <w:p w:rsidR="00B278B9" w:rsidRPr="006E388F" w:rsidRDefault="00B278B9" w:rsidP="006E388F">
      <w:pPr>
        <w:pStyle w:val="BodyTextFirstIndent"/>
        <w:spacing w:after="0" w:line="240" w:lineRule="auto"/>
        <w:ind w:left="686" w:hanging="686"/>
        <w:jc w:val="both"/>
        <w:rPr>
          <w:rFonts w:asciiTheme="majorBidi" w:hAnsiTheme="majorBidi" w:cstheme="majorBidi"/>
          <w:sz w:val="24"/>
          <w:szCs w:val="24"/>
        </w:rPr>
      </w:pPr>
      <w:r w:rsidRPr="006E388F">
        <w:rPr>
          <w:rFonts w:asciiTheme="majorBidi" w:hAnsiTheme="majorBidi" w:cstheme="majorBidi"/>
          <w:sz w:val="24"/>
          <w:szCs w:val="24"/>
        </w:rPr>
        <w:t xml:space="preserve">Hulland, J. (1999). Use of partial lest square (PLS) in strategic management research: A review of four recent studies. </w:t>
      </w:r>
      <w:r w:rsidRPr="006E388F">
        <w:rPr>
          <w:rFonts w:asciiTheme="majorBidi" w:hAnsiTheme="majorBidi" w:cstheme="majorBidi"/>
          <w:i/>
          <w:iCs/>
          <w:sz w:val="24"/>
          <w:szCs w:val="24"/>
        </w:rPr>
        <w:t>Strategic Management Journal</w:t>
      </w:r>
      <w:r w:rsidRPr="006E388F">
        <w:rPr>
          <w:rFonts w:asciiTheme="majorBidi" w:hAnsiTheme="majorBidi" w:cstheme="majorBidi"/>
          <w:sz w:val="24"/>
          <w:szCs w:val="24"/>
        </w:rPr>
        <w:t xml:space="preserve"> 20, 195-204.</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Ilyas, M. (2004). Good corporate governance in Islamic banking. Working paper presented in</w:t>
      </w:r>
      <w:r w:rsidR="001F5BCC" w:rsidRPr="006E388F">
        <w:rPr>
          <w:rFonts w:asciiTheme="majorBidi" w:hAnsiTheme="majorBidi" w:cstheme="majorBidi"/>
        </w:rPr>
        <w:t xml:space="preserve"> presented in Seminar Nasional Ekonomi Islam. Jakarta: STIE SEBI.</w:t>
      </w:r>
      <w:r w:rsidRPr="006E388F">
        <w:rPr>
          <w:rFonts w:asciiTheme="majorBidi" w:hAnsiTheme="majorBidi" w:cstheme="majorBidi"/>
        </w:rPr>
        <w:t xml:space="preserve"> </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Islamic Financial Services Board (IFSB). (2006). G</w:t>
      </w:r>
      <w:r w:rsidR="007B11BF">
        <w:rPr>
          <w:rFonts w:asciiTheme="majorBidi" w:hAnsiTheme="majorBidi" w:cstheme="majorBidi"/>
        </w:rPr>
        <w:t>uiding Principles on Corporate G</w:t>
      </w:r>
      <w:r w:rsidRPr="006E388F">
        <w:rPr>
          <w:rFonts w:asciiTheme="majorBidi" w:hAnsiTheme="majorBidi" w:cstheme="majorBidi"/>
        </w:rPr>
        <w:t>overnance Systems for institutions offering Islamic Financial Services (excluding Islamic Insurance (Takaful) Institutions and Islamic Mutual Funds), December 2006, Available at: http://www.ifsb.org/standard/ifsb3.pdf</w:t>
      </w:r>
    </w:p>
    <w:p w:rsidR="00B278B9"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Islamic Financial Services Board (IFSB). (2009). Guiding Principles on Shari’ah Governance Systems for institutions offering Islamic Financial Services, December 2009, Available at: </w:t>
      </w:r>
      <w:hyperlink r:id="rId12" w:history="1">
        <w:r w:rsidR="00BC5C00" w:rsidRPr="002C7D58">
          <w:rPr>
            <w:rStyle w:val="Hyperlink"/>
            <w:rFonts w:asciiTheme="majorBidi" w:hAnsiTheme="majorBidi" w:cstheme="majorBidi"/>
          </w:rPr>
          <w:t>http://www.ifsb.org/standard/IFSB-10%20Shari’ah%20Governance.pdf</w:t>
        </w:r>
      </w:hyperlink>
    </w:p>
    <w:p w:rsidR="00BC5C00" w:rsidRDefault="00BC5C00" w:rsidP="00BC5C00">
      <w:pPr>
        <w:spacing w:after="0" w:line="240" w:lineRule="auto"/>
        <w:ind w:left="709" w:hanging="709"/>
        <w:rPr>
          <w:rFonts w:asciiTheme="majorBidi" w:hAnsiTheme="majorBidi" w:cstheme="majorBidi"/>
          <w:sz w:val="24"/>
          <w:szCs w:val="24"/>
          <w:lang w:val="en-GB"/>
        </w:rPr>
      </w:pPr>
      <w:r w:rsidRPr="00BC5C00">
        <w:rPr>
          <w:rFonts w:asciiTheme="majorBidi" w:hAnsiTheme="majorBidi" w:cstheme="majorBidi"/>
          <w:sz w:val="24"/>
          <w:szCs w:val="24"/>
          <w:lang w:val="en-GB"/>
        </w:rPr>
        <w:t xml:space="preserve">Jensen, M. C. and Meckling, W. H. (1976). Theory of the firm: managerial behavior, agency costs and ownership structure. </w:t>
      </w:r>
      <w:r w:rsidRPr="00BC5C00">
        <w:rPr>
          <w:rFonts w:asciiTheme="majorBidi" w:hAnsiTheme="majorBidi" w:cstheme="majorBidi"/>
          <w:i/>
          <w:iCs/>
          <w:sz w:val="24"/>
          <w:szCs w:val="24"/>
          <w:lang w:val="en-GB"/>
        </w:rPr>
        <w:t>Journal of Financial Economics</w:t>
      </w:r>
      <w:r w:rsidRPr="00BC5C00">
        <w:rPr>
          <w:rFonts w:asciiTheme="majorBidi" w:hAnsiTheme="majorBidi" w:cstheme="majorBidi"/>
          <w:sz w:val="24"/>
          <w:szCs w:val="24"/>
          <w:lang w:val="en-GB"/>
        </w:rPr>
        <w:t xml:space="preserve"> 3(4), 305-360.</w:t>
      </w:r>
    </w:p>
    <w:p w:rsidR="00926543" w:rsidRPr="00926543" w:rsidRDefault="00926543" w:rsidP="00926543">
      <w:pPr>
        <w:spacing w:after="0" w:line="240" w:lineRule="auto"/>
        <w:ind w:left="709" w:hanging="709"/>
        <w:jc w:val="both"/>
        <w:rPr>
          <w:rFonts w:ascii="Times New Roman" w:hAnsi="Times New Roman" w:cs="Times New Roman"/>
          <w:sz w:val="24"/>
          <w:szCs w:val="24"/>
          <w:lang w:val="en-GB"/>
        </w:rPr>
      </w:pPr>
      <w:r w:rsidRPr="00926543">
        <w:rPr>
          <w:rFonts w:ascii="Times New Roman" w:hAnsi="Times New Roman" w:cs="Times New Roman"/>
          <w:sz w:val="24"/>
          <w:szCs w:val="24"/>
        </w:rPr>
        <w:t>Kamukama, N., Ahiau</w:t>
      </w:r>
      <w:r>
        <w:rPr>
          <w:rFonts w:ascii="Times New Roman" w:hAnsi="Times New Roman" w:cs="Times New Roman"/>
          <w:sz w:val="24"/>
          <w:szCs w:val="24"/>
        </w:rPr>
        <w:t xml:space="preserve">zu, A. and Ntayi J. M. (2010). </w:t>
      </w:r>
      <w:r w:rsidRPr="00926543">
        <w:rPr>
          <w:rFonts w:ascii="Times New Roman" w:hAnsi="Times New Roman" w:cs="Times New Roman"/>
          <w:sz w:val="24"/>
          <w:szCs w:val="24"/>
        </w:rPr>
        <w:t>Intellectual capital and financial performance in Ugand</w:t>
      </w:r>
      <w:r>
        <w:rPr>
          <w:rFonts w:ascii="Times New Roman" w:hAnsi="Times New Roman" w:cs="Times New Roman"/>
          <w:sz w:val="24"/>
          <w:szCs w:val="24"/>
        </w:rPr>
        <w:t xml:space="preserve">a’s microfinance institutions. </w:t>
      </w:r>
      <w:r w:rsidRPr="00926543">
        <w:rPr>
          <w:rFonts w:ascii="Times New Roman" w:hAnsi="Times New Roman" w:cs="Times New Roman"/>
          <w:sz w:val="24"/>
          <w:szCs w:val="24"/>
        </w:rPr>
        <w:t>African Journal of Accounting, Economic</w:t>
      </w:r>
      <w:r>
        <w:rPr>
          <w:rFonts w:ascii="Times New Roman" w:hAnsi="Times New Roman" w:cs="Times New Roman"/>
          <w:sz w:val="24"/>
          <w:szCs w:val="24"/>
        </w:rPr>
        <w:t>s, Finance and Banking Research. 6 (</w:t>
      </w:r>
      <w:r w:rsidRPr="00926543">
        <w:rPr>
          <w:rFonts w:ascii="Times New Roman" w:hAnsi="Times New Roman" w:cs="Times New Roman"/>
          <w:sz w:val="24"/>
          <w:szCs w:val="24"/>
        </w:rPr>
        <w:t>6</w:t>
      </w:r>
      <w:r>
        <w:rPr>
          <w:rFonts w:ascii="Times New Roman" w:hAnsi="Times New Roman" w:cs="Times New Roman"/>
          <w:sz w:val="24"/>
          <w:szCs w:val="24"/>
        </w:rPr>
        <w:t xml:space="preserve">), </w:t>
      </w:r>
      <w:r w:rsidRPr="00926543">
        <w:rPr>
          <w:rFonts w:ascii="Times New Roman" w:hAnsi="Times New Roman" w:cs="Times New Roman"/>
          <w:sz w:val="24"/>
          <w:szCs w:val="24"/>
        </w:rPr>
        <w:t>17-31.</w:t>
      </w:r>
    </w:p>
    <w:p w:rsidR="00BC5C00" w:rsidRPr="00BC5C00" w:rsidRDefault="00BC5C00" w:rsidP="00BC5C00">
      <w:pPr>
        <w:pStyle w:val="BodyTextFirstIndent"/>
        <w:spacing w:after="0" w:line="240" w:lineRule="auto"/>
        <w:rPr>
          <w:rFonts w:asciiTheme="majorBidi" w:hAnsiTheme="majorBidi" w:cstheme="majorBidi"/>
          <w:sz w:val="24"/>
          <w:szCs w:val="24"/>
          <w:lang w:val="en-US"/>
        </w:rPr>
      </w:pPr>
    </w:p>
    <w:p w:rsidR="00B278B9" w:rsidRPr="006E388F" w:rsidRDefault="00B278B9" w:rsidP="00BC5C00">
      <w:pPr>
        <w:pStyle w:val="BodyText"/>
        <w:spacing w:line="240" w:lineRule="auto"/>
        <w:ind w:left="686" w:hanging="686"/>
        <w:rPr>
          <w:rFonts w:asciiTheme="majorBidi" w:hAnsiTheme="majorBidi" w:cstheme="majorBidi"/>
        </w:rPr>
      </w:pPr>
      <w:r w:rsidRPr="00BC5C00">
        <w:rPr>
          <w:rFonts w:asciiTheme="majorBidi" w:hAnsiTheme="majorBidi" w:cstheme="majorBidi"/>
        </w:rPr>
        <w:t>Lin,</w:t>
      </w:r>
      <w:r w:rsidRPr="006E388F">
        <w:rPr>
          <w:rFonts w:asciiTheme="majorBidi" w:hAnsiTheme="majorBidi" w:cstheme="majorBidi"/>
        </w:rPr>
        <w:t xml:space="preserve"> C., Ma, Y., &amp; Su, D. (2010). Corporate</w:t>
      </w:r>
      <w:r w:rsidR="007B11BF">
        <w:rPr>
          <w:rFonts w:asciiTheme="majorBidi" w:hAnsiTheme="majorBidi" w:cstheme="majorBidi"/>
        </w:rPr>
        <w:t xml:space="preserve"> Governance and Firm Efficiency</w:t>
      </w:r>
      <w:r w:rsidRPr="006E388F">
        <w:rPr>
          <w:rFonts w:asciiTheme="majorBidi" w:hAnsiTheme="majorBidi" w:cstheme="majorBidi"/>
        </w:rPr>
        <w:t xml:space="preserve">: Evidence from China’s Publicly Listed Firms. </w:t>
      </w:r>
      <w:r w:rsidRPr="006E388F">
        <w:rPr>
          <w:rFonts w:asciiTheme="majorBidi" w:hAnsiTheme="majorBidi" w:cstheme="majorBidi"/>
          <w:i/>
          <w:iCs/>
        </w:rPr>
        <w:t>Proceeding, the Sixth Annual International Conference on Financial Engineering</w:t>
      </w:r>
      <w:r w:rsidRPr="006E388F">
        <w:rPr>
          <w:rFonts w:asciiTheme="majorBidi" w:hAnsiTheme="majorBidi" w:cstheme="majorBidi"/>
        </w:rPr>
        <w:t>, (70572065), 1–31.</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Magalhães, R., &amp; Al-Saad, S. (2013). Corporate governance in Islamic financial institutions: the issues surrounding unrestricted investment account holders. </w:t>
      </w:r>
      <w:r w:rsidRPr="006E388F">
        <w:rPr>
          <w:rFonts w:asciiTheme="majorBidi" w:hAnsiTheme="majorBidi" w:cstheme="majorBidi"/>
          <w:i/>
          <w:iCs/>
        </w:rPr>
        <w:t>Corporate Governance</w:t>
      </w:r>
      <w:r w:rsidRPr="006E388F">
        <w:rPr>
          <w:rFonts w:asciiTheme="majorBidi" w:hAnsiTheme="majorBidi" w:cstheme="majorBidi"/>
        </w:rPr>
        <w:t xml:space="preserve"> 13(1), 39–57. http://doi.org/10.1108/14720701311302404</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Mahmood, I., &amp; Abbas, Z. (2012). Impact of corporate governance on financial performance of banks in Pakistan. </w:t>
      </w:r>
      <w:r w:rsidRPr="006E388F">
        <w:rPr>
          <w:rFonts w:asciiTheme="majorBidi" w:hAnsiTheme="majorBidi" w:cstheme="majorBidi"/>
          <w:i/>
          <w:iCs/>
        </w:rPr>
        <w:t>Interdisciplinary Journal of Contemporary Research in Business</w:t>
      </w:r>
      <w:r w:rsidRPr="006E388F">
        <w:rPr>
          <w:rFonts w:asciiTheme="majorBidi" w:hAnsiTheme="majorBidi" w:cstheme="majorBidi"/>
        </w:rPr>
        <w:t xml:space="preserve"> 2(12), 217–229.</w:t>
      </w:r>
    </w:p>
    <w:p w:rsidR="009B6D52"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Majid, N. A., Sulaiman, M., &amp; Ariffin, N. M. (2010). Developing a Corporate Governance Disclosure Index for Islamic Financial Institutions. </w:t>
      </w:r>
      <w:r w:rsidRPr="006E388F">
        <w:rPr>
          <w:rFonts w:asciiTheme="majorBidi" w:hAnsiTheme="majorBidi" w:cstheme="majorBidi"/>
          <w:i/>
          <w:iCs/>
        </w:rPr>
        <w:t xml:space="preserve">In 8th International Conference on </w:t>
      </w:r>
      <w:r w:rsidRPr="006E388F">
        <w:rPr>
          <w:rFonts w:asciiTheme="majorBidi" w:hAnsiTheme="majorBidi" w:cstheme="majorBidi"/>
          <w:i/>
          <w:iCs/>
        </w:rPr>
        <w:lastRenderedPageBreak/>
        <w:t>Islamic Economics and Finance, Center for Islamic Economics and Finance, Qatar Faculty of Islamic Studies</w:t>
      </w:r>
      <w:r w:rsidRPr="006E388F">
        <w:rPr>
          <w:rFonts w:asciiTheme="majorBidi" w:hAnsiTheme="majorBidi" w:cstheme="majorBidi"/>
        </w:rPr>
        <w:t xml:space="preserve"> (pp. 1–25).</w:t>
      </w:r>
    </w:p>
    <w:p w:rsidR="00F245D7" w:rsidRPr="00F245D7" w:rsidRDefault="00F245D7" w:rsidP="00F245D7">
      <w:pPr>
        <w:pStyle w:val="BodyTextFirstIndent"/>
        <w:spacing w:after="0" w:line="240" w:lineRule="auto"/>
        <w:ind w:left="709" w:hanging="709"/>
        <w:rPr>
          <w:rFonts w:asciiTheme="majorBidi" w:hAnsiTheme="majorBidi" w:cstheme="majorBidi"/>
          <w:sz w:val="24"/>
          <w:szCs w:val="24"/>
          <w:lang w:val="en-GB"/>
        </w:rPr>
      </w:pPr>
      <w:r w:rsidRPr="00F245D7">
        <w:rPr>
          <w:rFonts w:asciiTheme="majorBidi" w:hAnsiTheme="majorBidi" w:cstheme="majorBidi"/>
          <w:sz w:val="24"/>
          <w:szCs w:val="24"/>
          <w:lang w:val="en-GB"/>
        </w:rPr>
        <w:t xml:space="preserve">Malaysia Code of Corporate Governance (MCCG). (2000), Available at: </w:t>
      </w:r>
      <w:hyperlink r:id="rId13" w:history="1">
        <w:r w:rsidRPr="00F245D7">
          <w:rPr>
            <w:rStyle w:val="Hyperlink"/>
            <w:rFonts w:asciiTheme="majorBidi" w:hAnsiTheme="majorBidi" w:cstheme="majorBidi"/>
            <w:sz w:val="24"/>
            <w:szCs w:val="24"/>
            <w:lang w:val="en-GB"/>
          </w:rPr>
          <w:t>http://www.scribd.com/doc/58277335/MCCG-2000-Finance-Comm</w:t>
        </w:r>
      </w:hyperlink>
    </w:p>
    <w:p w:rsidR="00F245D7" w:rsidRPr="00F245D7" w:rsidRDefault="00F245D7" w:rsidP="00F245D7">
      <w:pPr>
        <w:spacing w:after="0" w:line="240" w:lineRule="auto"/>
        <w:ind w:left="709" w:hanging="709"/>
        <w:rPr>
          <w:rFonts w:asciiTheme="majorBidi" w:hAnsiTheme="majorBidi" w:cstheme="majorBidi"/>
          <w:sz w:val="24"/>
          <w:szCs w:val="24"/>
          <w:lang w:val="en-GB"/>
        </w:rPr>
      </w:pPr>
      <w:r w:rsidRPr="00F245D7">
        <w:rPr>
          <w:rFonts w:asciiTheme="majorBidi" w:hAnsiTheme="majorBidi" w:cstheme="majorBidi"/>
          <w:sz w:val="24"/>
          <w:szCs w:val="24"/>
          <w:lang w:val="en-GB"/>
        </w:rPr>
        <w:t xml:space="preserve">Malaysia Code of Corporate Governance (MCCG) (2012), Available at: </w:t>
      </w:r>
      <w:hyperlink r:id="rId14" w:history="1">
        <w:r w:rsidRPr="00F245D7">
          <w:rPr>
            <w:rStyle w:val="Hyperlink"/>
            <w:rFonts w:asciiTheme="majorBidi" w:hAnsiTheme="majorBidi" w:cstheme="majorBidi"/>
            <w:sz w:val="24"/>
            <w:szCs w:val="24"/>
            <w:lang w:val="en-GB"/>
          </w:rPr>
          <w:t>http://www.mia.org.my/new/downloads/circularsandresources/circulars/2012/21/MCCG_2012.pdf</w:t>
        </w:r>
      </w:hyperlink>
    </w:p>
    <w:p w:rsidR="00F245D7" w:rsidRPr="00F245D7" w:rsidRDefault="00F245D7" w:rsidP="00F245D7">
      <w:pPr>
        <w:spacing w:after="0" w:line="240" w:lineRule="auto"/>
        <w:ind w:left="709" w:hanging="709"/>
        <w:rPr>
          <w:rFonts w:asciiTheme="majorBidi" w:hAnsiTheme="majorBidi" w:cstheme="majorBidi"/>
          <w:sz w:val="24"/>
          <w:szCs w:val="24"/>
          <w:lang w:val="en-GB"/>
        </w:rPr>
      </w:pPr>
      <w:r w:rsidRPr="00F245D7">
        <w:rPr>
          <w:rFonts w:asciiTheme="majorBidi" w:hAnsiTheme="majorBidi" w:cstheme="majorBidi"/>
          <w:sz w:val="24"/>
          <w:szCs w:val="24"/>
          <w:lang w:val="en-GB"/>
        </w:rPr>
        <w:t xml:space="preserve">Malaysia Code of Corporate Governance (MCCG). (Revised 2007), Available at: </w:t>
      </w:r>
      <w:hyperlink r:id="rId15" w:history="1">
        <w:r w:rsidRPr="00F245D7">
          <w:rPr>
            <w:rStyle w:val="Hyperlink"/>
            <w:rFonts w:asciiTheme="majorBidi" w:hAnsiTheme="majorBidi" w:cstheme="majorBidi"/>
            <w:sz w:val="24"/>
            <w:szCs w:val="24"/>
            <w:lang w:val="en-GB"/>
          </w:rPr>
          <w:t>http://www.scribd.com/doc/93468395/MCCG-Revised-2007</w:t>
        </w:r>
      </w:hyperlink>
    </w:p>
    <w:p w:rsidR="00F245D7" w:rsidRPr="00F245D7" w:rsidRDefault="00F245D7" w:rsidP="00F245D7">
      <w:pPr>
        <w:pStyle w:val="BodyTextFirstIndent"/>
        <w:spacing w:after="0" w:line="240" w:lineRule="auto"/>
        <w:rPr>
          <w:rFonts w:asciiTheme="majorBidi" w:hAnsiTheme="majorBidi" w:cstheme="majorBidi"/>
          <w:sz w:val="24"/>
          <w:szCs w:val="24"/>
          <w:lang w:val="en-GB"/>
        </w:rPr>
      </w:pPr>
    </w:p>
    <w:p w:rsidR="009B6D52" w:rsidRPr="006E388F" w:rsidRDefault="009B6D52" w:rsidP="00F245D7">
      <w:pPr>
        <w:pStyle w:val="BodyText"/>
        <w:spacing w:line="240" w:lineRule="auto"/>
        <w:ind w:left="686" w:hanging="686"/>
        <w:rPr>
          <w:rFonts w:asciiTheme="majorBidi" w:hAnsiTheme="majorBidi" w:cstheme="majorBidi"/>
        </w:rPr>
      </w:pPr>
      <w:r w:rsidRPr="00F245D7">
        <w:rPr>
          <w:rFonts w:asciiTheme="majorBidi" w:hAnsiTheme="majorBidi" w:cstheme="majorBidi"/>
        </w:rPr>
        <w:t>Manzoor Alam, M. (1996). Perspective on Islamic Economics. New Delhi: Institute of</w:t>
      </w:r>
      <w:r w:rsidRPr="006E388F">
        <w:rPr>
          <w:rFonts w:asciiTheme="majorBidi" w:hAnsiTheme="majorBidi" w:cstheme="majorBidi"/>
        </w:rPr>
        <w:t xml:space="preserve"> Objective Studies.</w:t>
      </w:r>
    </w:p>
    <w:p w:rsidR="00755089" w:rsidRPr="006E388F" w:rsidRDefault="00755089" w:rsidP="006E388F">
      <w:pPr>
        <w:pStyle w:val="BodyTextFirstIndent"/>
        <w:spacing w:after="0" w:line="240" w:lineRule="auto"/>
        <w:ind w:left="709" w:hanging="709"/>
        <w:jc w:val="both"/>
        <w:rPr>
          <w:rFonts w:asciiTheme="majorBidi" w:hAnsiTheme="majorBidi" w:cstheme="majorBidi"/>
          <w:sz w:val="24"/>
          <w:szCs w:val="24"/>
        </w:rPr>
      </w:pPr>
      <w:r w:rsidRPr="006E388F">
        <w:rPr>
          <w:rFonts w:asciiTheme="majorBidi" w:hAnsiTheme="majorBidi" w:cstheme="majorBidi"/>
          <w:sz w:val="24"/>
          <w:szCs w:val="24"/>
        </w:rPr>
        <w:t>Memiyanty, A. R., Abdul Rahman, A. R., &amp; Syed Jaafar Alhabshi, S. M. (</w:t>
      </w:r>
      <w:r w:rsidRPr="006E388F">
        <w:rPr>
          <w:rFonts w:asciiTheme="majorBidi" w:hAnsiTheme="majorBidi" w:cstheme="majorBidi"/>
          <w:sz w:val="24"/>
          <w:szCs w:val="24"/>
          <w:lang w:val="en"/>
        </w:rPr>
        <w:t>2016).</w:t>
      </w:r>
      <w:r w:rsidRPr="006E388F">
        <w:rPr>
          <w:rFonts w:asciiTheme="majorBidi" w:hAnsiTheme="majorBidi" w:cstheme="majorBidi"/>
          <w:sz w:val="24"/>
          <w:szCs w:val="24"/>
        </w:rPr>
        <w:t xml:space="preserve"> </w:t>
      </w:r>
      <w:r w:rsidRPr="006E388F">
        <w:rPr>
          <w:rFonts w:asciiTheme="majorBidi" w:hAnsiTheme="majorBidi" w:cstheme="majorBidi"/>
          <w:kern w:val="36"/>
          <w:sz w:val="24"/>
          <w:szCs w:val="24"/>
          <w:lang w:val="en"/>
        </w:rPr>
        <w:t>The Proposed New Integrated of Performance Measurements (</w:t>
      </w:r>
      <w:r w:rsidRPr="006E388F">
        <w:rPr>
          <w:rFonts w:asciiTheme="majorBidi" w:hAnsiTheme="majorBidi" w:cstheme="majorBidi"/>
          <w:i/>
          <w:iCs/>
          <w:kern w:val="36"/>
          <w:sz w:val="24"/>
          <w:szCs w:val="24"/>
          <w:lang w:val="en"/>
        </w:rPr>
        <w:t>M Score</w:t>
      </w:r>
      <w:r w:rsidRPr="006E388F">
        <w:rPr>
          <w:rFonts w:asciiTheme="majorBidi" w:hAnsiTheme="majorBidi" w:cstheme="majorBidi"/>
          <w:kern w:val="36"/>
          <w:sz w:val="24"/>
          <w:szCs w:val="24"/>
          <w:lang w:val="en"/>
        </w:rPr>
        <w:t xml:space="preserve">) for Islamic Banks. </w:t>
      </w:r>
      <w:hyperlink r:id="rId16" w:tooltip="link to all issues of this title" w:history="1">
        <w:r w:rsidRPr="006E388F">
          <w:rPr>
            <w:rFonts w:asciiTheme="majorBidi" w:hAnsiTheme="majorBidi" w:cstheme="majorBidi"/>
            <w:sz w:val="24"/>
            <w:szCs w:val="24"/>
            <w:lang w:val="en"/>
          </w:rPr>
          <w:t>Advanced Science Letters</w:t>
        </w:r>
      </w:hyperlink>
      <w:r w:rsidRPr="006E388F">
        <w:rPr>
          <w:rFonts w:asciiTheme="majorBidi" w:hAnsiTheme="majorBidi" w:cstheme="majorBidi"/>
          <w:sz w:val="24"/>
          <w:szCs w:val="24"/>
          <w:lang w:val="en"/>
        </w:rPr>
        <w:t xml:space="preserve"> 22(12), </w:t>
      </w:r>
      <w:r w:rsidRPr="006E388F">
        <w:rPr>
          <w:rStyle w:val="pagesnum"/>
          <w:rFonts w:asciiTheme="majorBidi" w:hAnsiTheme="majorBidi" w:cstheme="majorBidi"/>
          <w:sz w:val="24"/>
          <w:szCs w:val="24"/>
          <w:lang w:val="en"/>
        </w:rPr>
        <w:t xml:space="preserve">4457-4460(4). </w:t>
      </w:r>
      <w:hyperlink r:id="rId17" w:history="1">
        <w:r w:rsidRPr="006E388F">
          <w:rPr>
            <w:rFonts w:asciiTheme="majorBidi" w:hAnsiTheme="majorBidi" w:cstheme="majorBidi"/>
            <w:sz w:val="24"/>
            <w:szCs w:val="24"/>
            <w:lang w:val="en"/>
          </w:rPr>
          <w:t>https://doi.org/10.1166/asl.2016.8183</w:t>
        </w:r>
      </w:hyperlink>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Mohamad, S., Muhamad Sori, Z., &amp; Shah, E. (2015). Shari’ah Governance: Effectiveness of Shari’ah Committees in Islamic Banks in Malaysia. Available at SSRN: https://ssrn.com/abstract=2555373 or http://dx.doi.org/10.2139/ssrn.2555373.</w:t>
      </w:r>
    </w:p>
    <w:p w:rsidR="00B278B9" w:rsidRPr="006E388F" w:rsidRDefault="00B278B9" w:rsidP="006E388F">
      <w:pPr>
        <w:spacing w:after="0" w:line="240" w:lineRule="auto"/>
        <w:ind w:left="709" w:hanging="709"/>
        <w:jc w:val="both"/>
        <w:rPr>
          <w:rFonts w:asciiTheme="majorBidi" w:hAnsiTheme="majorBidi" w:cstheme="majorBidi"/>
          <w:sz w:val="24"/>
          <w:szCs w:val="24"/>
          <w:lang w:val="en-GB"/>
        </w:rPr>
      </w:pPr>
      <w:r w:rsidRPr="006E388F">
        <w:rPr>
          <w:rFonts w:asciiTheme="majorBidi" w:hAnsiTheme="majorBidi" w:cstheme="majorBidi"/>
          <w:sz w:val="24"/>
          <w:szCs w:val="24"/>
        </w:rPr>
        <w:t xml:space="preserve">Mohamed, E.K.A. (2010). Multidimensional Performance Measurement in Islamic Banking. </w:t>
      </w:r>
      <w:r w:rsidRPr="006E388F">
        <w:rPr>
          <w:rFonts w:asciiTheme="majorBidi" w:hAnsiTheme="majorBidi" w:cstheme="majorBidi"/>
          <w:i/>
          <w:sz w:val="24"/>
          <w:szCs w:val="24"/>
        </w:rPr>
        <w:t>Global Journal of Business Research,</w:t>
      </w:r>
      <w:r w:rsidRPr="006E388F">
        <w:rPr>
          <w:rFonts w:asciiTheme="majorBidi" w:hAnsiTheme="majorBidi" w:cstheme="majorBidi"/>
          <w:sz w:val="24"/>
          <w:szCs w:val="24"/>
        </w:rPr>
        <w:t xml:space="preserve"> 4(3), 47-60.</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Mohammed, M. O., &amp; Abdul Razak, D. (2008). The Performance Measures of Islamic Banking Based on the Maqasid Shariah.</w:t>
      </w:r>
      <w:r w:rsidRPr="006E388F">
        <w:rPr>
          <w:rFonts w:asciiTheme="majorBidi" w:hAnsiTheme="majorBidi" w:cstheme="majorBidi"/>
          <w:i/>
          <w:iCs/>
        </w:rPr>
        <w:t xml:space="preserve"> In IIUM International Accounting Conference (INTAC IV), Putra Jaya Marroitt</w:t>
      </w:r>
      <w:r w:rsidRPr="006E388F">
        <w:rPr>
          <w:rFonts w:asciiTheme="majorBidi" w:hAnsiTheme="majorBidi" w:cstheme="majorBidi"/>
        </w:rPr>
        <w:t xml:space="preserve"> (pp. 1–17).</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Mohammed, S. A. S. A., &amp; Muhammed, J. (2017). The relationship between agency theory, stakeholder theory and Shari’ah supervisory board in Islamic banking: An attempt towards discussion. </w:t>
      </w:r>
      <w:r w:rsidRPr="006E388F">
        <w:rPr>
          <w:rFonts w:asciiTheme="majorBidi" w:hAnsiTheme="majorBidi" w:cstheme="majorBidi"/>
          <w:i/>
          <w:iCs/>
        </w:rPr>
        <w:t>Humanomics</w:t>
      </w:r>
      <w:r w:rsidRPr="006E388F">
        <w:rPr>
          <w:rFonts w:asciiTheme="majorBidi" w:hAnsiTheme="majorBidi" w:cstheme="majorBidi"/>
        </w:rPr>
        <w:t xml:space="preserve"> 33(1), 75 – 83.</w:t>
      </w:r>
    </w:p>
    <w:p w:rsidR="00B278B9" w:rsidRPr="006E388F" w:rsidRDefault="00B278B9" w:rsidP="006E388F">
      <w:pPr>
        <w:spacing w:after="0" w:line="240" w:lineRule="auto"/>
        <w:ind w:left="709" w:hanging="709"/>
        <w:jc w:val="both"/>
        <w:rPr>
          <w:rFonts w:asciiTheme="majorBidi" w:hAnsiTheme="majorBidi" w:cstheme="majorBidi"/>
          <w:sz w:val="24"/>
          <w:szCs w:val="24"/>
          <w:lang w:val="en-GB"/>
        </w:rPr>
      </w:pPr>
      <w:r w:rsidRPr="006E388F">
        <w:rPr>
          <w:rFonts w:asciiTheme="majorBidi" w:hAnsiTheme="majorBidi" w:cstheme="majorBidi"/>
          <w:sz w:val="24"/>
          <w:szCs w:val="24"/>
        </w:rPr>
        <w:t xml:space="preserve">Mohammed, M. O., Tarique, K. M., &amp; Islam. R. (2015). Measuring the performance of Islamic banks using maqāsid based model. </w:t>
      </w:r>
      <w:r w:rsidRPr="006E388F">
        <w:rPr>
          <w:rFonts w:asciiTheme="majorBidi" w:hAnsiTheme="majorBidi" w:cstheme="majorBidi"/>
          <w:i/>
          <w:sz w:val="24"/>
          <w:szCs w:val="24"/>
        </w:rPr>
        <w:t xml:space="preserve">Intellectual Discourse, </w:t>
      </w:r>
      <w:r w:rsidRPr="006E388F">
        <w:rPr>
          <w:rFonts w:asciiTheme="majorBidi" w:hAnsiTheme="majorBidi" w:cstheme="majorBidi"/>
          <w:sz w:val="24"/>
          <w:szCs w:val="24"/>
        </w:rPr>
        <w:t>23, 401-424.</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Mollah, S., &amp; Zaman, M. (2015). Shari’ah supervision, corporate governance and performance: Conventional vs. Islamic banks. </w:t>
      </w:r>
      <w:r w:rsidRPr="006E388F">
        <w:rPr>
          <w:rFonts w:asciiTheme="majorBidi" w:hAnsiTheme="majorBidi" w:cstheme="majorBidi"/>
          <w:i/>
          <w:iCs/>
        </w:rPr>
        <w:t>Journal of Banking &amp; Finance</w:t>
      </w:r>
      <w:r w:rsidRPr="006E388F">
        <w:rPr>
          <w:rFonts w:asciiTheme="majorBidi" w:hAnsiTheme="majorBidi" w:cstheme="majorBidi"/>
        </w:rPr>
        <w:t>, 58, 418–435. http://doi.org/10.1016/j.jbankfin.2015.04.030.</w:t>
      </w:r>
    </w:p>
    <w:p w:rsidR="00B278B9" w:rsidRPr="006E388F" w:rsidRDefault="00B278B9" w:rsidP="006E388F">
      <w:pPr>
        <w:pStyle w:val="BodyText"/>
        <w:spacing w:line="240" w:lineRule="auto"/>
        <w:ind w:left="686" w:hanging="686"/>
        <w:rPr>
          <w:rStyle w:val="Hyperlink"/>
          <w:rFonts w:asciiTheme="majorBidi" w:hAnsiTheme="majorBidi" w:cstheme="majorBidi"/>
          <w:color w:val="auto"/>
          <w:u w:val="none"/>
        </w:rPr>
      </w:pPr>
      <w:r w:rsidRPr="006E388F">
        <w:rPr>
          <w:rFonts w:asciiTheme="majorBidi" w:hAnsiTheme="majorBidi" w:cstheme="majorBidi"/>
        </w:rPr>
        <w:t>Muhamad Sori, Z., &amp; Mohamad, S. (2015). Is the Shari’ah Governance Framework Effective? Banking Insights. Retrieved from https://kmcportal.inceif.org/.</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Mustafa, O.M. (2011). The Objectives and Performance Measures of Islamic Banking based on Maqasid Al-Shari’ah Framework. Ph</w:t>
      </w:r>
      <w:r w:rsidR="00176589">
        <w:rPr>
          <w:rFonts w:asciiTheme="majorBidi" w:hAnsiTheme="majorBidi" w:cstheme="majorBidi"/>
        </w:rPr>
        <w:t>.</w:t>
      </w:r>
      <w:r w:rsidRPr="006E388F">
        <w:rPr>
          <w:rFonts w:asciiTheme="majorBidi" w:hAnsiTheme="majorBidi" w:cstheme="majorBidi"/>
        </w:rPr>
        <w:t>D. International Islamic University Malaysia.</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Mustafa, O.M. and Taib, Fauziah (2010). Developing Islamic Banking Performance Measures Based on Maqasid Al-Shari’ah Framework: Cases of 24 Selected Banks. Proceeding at the Ninth A</w:t>
      </w:r>
      <w:r w:rsidR="00176589">
        <w:rPr>
          <w:rFonts w:asciiTheme="majorBidi" w:hAnsiTheme="majorBidi" w:cstheme="majorBidi"/>
        </w:rPr>
        <w:t>u</w:t>
      </w:r>
      <w:r w:rsidRPr="006E388F">
        <w:rPr>
          <w:rFonts w:asciiTheme="majorBidi" w:hAnsiTheme="majorBidi" w:cstheme="majorBidi"/>
        </w:rPr>
        <w:t>stralian Society of Hete</w:t>
      </w:r>
      <w:r w:rsidR="00176589">
        <w:rPr>
          <w:rFonts w:asciiTheme="majorBidi" w:hAnsiTheme="majorBidi" w:cstheme="majorBidi"/>
        </w:rPr>
        <w:t>r</w:t>
      </w:r>
      <w:r w:rsidRPr="006E388F">
        <w:rPr>
          <w:rFonts w:asciiTheme="majorBidi" w:hAnsiTheme="majorBidi" w:cstheme="majorBidi"/>
        </w:rPr>
        <w:t>odox Economists Conference, University of New South Wales, Sydney, Australia, 6-7 December 2010.</w:t>
      </w:r>
    </w:p>
    <w:p w:rsidR="00B278B9" w:rsidRDefault="00B278B9" w:rsidP="006E388F">
      <w:pPr>
        <w:spacing w:after="0" w:line="240" w:lineRule="auto"/>
        <w:ind w:left="567" w:hanging="567"/>
        <w:jc w:val="both"/>
        <w:rPr>
          <w:rFonts w:asciiTheme="majorBidi" w:hAnsiTheme="majorBidi" w:cstheme="majorBidi"/>
          <w:sz w:val="24"/>
          <w:szCs w:val="24"/>
        </w:rPr>
      </w:pPr>
      <w:r w:rsidRPr="006E388F">
        <w:rPr>
          <w:rFonts w:asciiTheme="majorBidi" w:hAnsiTheme="majorBidi" w:cstheme="majorBidi"/>
          <w:sz w:val="24"/>
          <w:szCs w:val="24"/>
        </w:rPr>
        <w:t xml:space="preserve">Nadia, S., Sonia, M., &amp; Jaleleddine, B. R. (2014). Ethical Performance of Islamic Banks: The Case of the Tunisian Banking. </w:t>
      </w:r>
      <w:r w:rsidRPr="006E388F">
        <w:rPr>
          <w:rFonts w:asciiTheme="majorBidi" w:hAnsiTheme="majorBidi" w:cstheme="majorBidi"/>
          <w:i/>
          <w:sz w:val="24"/>
          <w:szCs w:val="24"/>
        </w:rPr>
        <w:t>Journal of Islamic Banking and Finance</w:t>
      </w:r>
      <w:r w:rsidRPr="006E388F">
        <w:rPr>
          <w:rFonts w:asciiTheme="majorBidi" w:hAnsiTheme="majorBidi" w:cstheme="majorBidi"/>
          <w:sz w:val="24"/>
          <w:szCs w:val="24"/>
        </w:rPr>
        <w:t>, 2(1), 107-122.</w:t>
      </w:r>
    </w:p>
    <w:p w:rsidR="00D909EA" w:rsidRPr="00EF0510" w:rsidRDefault="00D909EA" w:rsidP="00D909EA">
      <w:pPr>
        <w:spacing w:after="0" w:line="240" w:lineRule="auto"/>
        <w:ind w:left="567" w:hanging="567"/>
        <w:rPr>
          <w:rFonts w:ascii="Times New Roman" w:hAnsi="Times New Roman" w:cs="Times New Roman"/>
          <w:sz w:val="24"/>
          <w:szCs w:val="24"/>
          <w:lang w:val="en-GB"/>
        </w:rPr>
      </w:pPr>
      <w:r w:rsidRPr="00EF0510">
        <w:rPr>
          <w:rFonts w:ascii="Times New Roman" w:hAnsi="Times New Roman" w:cs="Times New Roman"/>
          <w:sz w:val="24"/>
          <w:szCs w:val="24"/>
        </w:rPr>
        <w:t>Nalukenge, I., Tauringana,V. and Ntayi, J.M. (2017). Corporate Governance and Internal Controls over Financial Reporting in Ugandan MFIs", Journal of Accounting in Emerging Economies, 7 (3), 294-317.</w:t>
      </w:r>
      <w:r w:rsidRPr="00EF0510">
        <w:rPr>
          <w:rFonts w:ascii="Times New Roman" w:hAnsi="Times New Roman" w:cs="Times New Roman"/>
          <w:sz w:val="24"/>
          <w:szCs w:val="24"/>
        </w:rPr>
        <w:br/>
      </w:r>
    </w:p>
    <w:p w:rsidR="00B278B9" w:rsidRPr="006E388F" w:rsidRDefault="00B278B9" w:rsidP="00D909EA">
      <w:pPr>
        <w:pStyle w:val="BodyText"/>
        <w:spacing w:line="240" w:lineRule="auto"/>
        <w:ind w:left="686" w:hanging="686"/>
        <w:jc w:val="left"/>
        <w:rPr>
          <w:rFonts w:asciiTheme="majorBidi" w:hAnsiTheme="majorBidi" w:cstheme="majorBidi"/>
        </w:rPr>
      </w:pPr>
      <w:r w:rsidRPr="00D909EA">
        <w:t>Naqvi,</w:t>
      </w:r>
      <w:r w:rsidRPr="006E388F">
        <w:rPr>
          <w:rFonts w:asciiTheme="majorBidi" w:hAnsiTheme="majorBidi" w:cstheme="majorBidi"/>
        </w:rPr>
        <w:t xml:space="preserve"> S.N.H. (1981). Ethics and Economics: An Islamic Synthesis. Leicester: Islamic Foundation.</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Naqvi, S.N.H. (1994). Islam, Economics and Society. London: Kegan Paul International Ltd.</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Ngalim S.M., &amp; Ismail, A. G. (2014). An Islamic vision development based indicators in analysing the Islamic banks performance: evidence from Malaysia, Indonesia and </w:t>
      </w:r>
      <w:r w:rsidRPr="006E388F">
        <w:rPr>
          <w:rFonts w:asciiTheme="majorBidi" w:hAnsiTheme="majorBidi" w:cstheme="majorBidi"/>
        </w:rPr>
        <w:lastRenderedPageBreak/>
        <w:t>selected GCC countries. IRTI working papers WP-1436-02. Islamic Research and Training Institute, Jeddah.</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Nienhaus, V. (2006). “Corporate Governance in Islamic Banks”, in Khan, T. and Muljawan, D. (Eds.). </w:t>
      </w:r>
      <w:r w:rsidRPr="006E388F">
        <w:rPr>
          <w:rFonts w:asciiTheme="majorBidi" w:hAnsiTheme="majorBidi" w:cstheme="majorBidi"/>
          <w:i/>
          <w:iCs/>
        </w:rPr>
        <w:t xml:space="preserve">Islamic Financial Architecture: Risk Management and Financial Stability </w:t>
      </w:r>
      <w:r w:rsidRPr="006E388F">
        <w:rPr>
          <w:rFonts w:asciiTheme="majorBidi" w:hAnsiTheme="majorBidi" w:cstheme="majorBidi"/>
        </w:rPr>
        <w:t>(pp. 289-302). Jeddah: IRTI.</w:t>
      </w:r>
    </w:p>
    <w:p w:rsidR="00B278B9" w:rsidRPr="00EF0510"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Nienhaus, V. (2007). “Governance of Islamic Banks”, in Hassan, M.K and M.K. Lewis. (Eds.), Handbook of Islamic Banking. </w:t>
      </w:r>
      <w:r w:rsidRPr="006E388F">
        <w:rPr>
          <w:rFonts w:asciiTheme="majorBidi" w:hAnsiTheme="majorBidi" w:cstheme="majorBidi"/>
          <w:i/>
          <w:iCs/>
        </w:rPr>
        <w:t>Cheltenham</w:t>
      </w:r>
      <w:r w:rsidRPr="006E388F">
        <w:rPr>
          <w:rFonts w:asciiTheme="majorBidi" w:hAnsiTheme="majorBidi" w:cstheme="majorBidi"/>
        </w:rPr>
        <w:t xml:space="preserve"> (pp. 128-143). UK: Edward Elgar </w:t>
      </w:r>
      <w:r w:rsidRPr="00EF0510">
        <w:rPr>
          <w:rFonts w:asciiTheme="majorBidi" w:hAnsiTheme="majorBidi" w:cstheme="majorBidi"/>
        </w:rPr>
        <w:t>Publishing Limited.</w:t>
      </w:r>
    </w:p>
    <w:p w:rsidR="00926543" w:rsidRPr="00EF0510" w:rsidRDefault="00926543" w:rsidP="00926543">
      <w:pPr>
        <w:pStyle w:val="BodyTextFirstIndent"/>
        <w:ind w:left="720" w:hanging="720"/>
        <w:jc w:val="both"/>
        <w:rPr>
          <w:rFonts w:ascii="Times New Roman" w:hAnsi="Times New Roman" w:cs="Times New Roman"/>
          <w:sz w:val="24"/>
          <w:szCs w:val="24"/>
          <w:lang w:val="en-US"/>
        </w:rPr>
      </w:pPr>
      <w:r w:rsidRPr="00EF0510">
        <w:rPr>
          <w:rFonts w:ascii="Times New Roman" w:hAnsi="Times New Roman" w:cs="Times New Roman"/>
          <w:sz w:val="24"/>
          <w:szCs w:val="24"/>
        </w:rPr>
        <w:t xml:space="preserve">Nkundabanyanga, K.S., Ntayi, J.M., Ahiauzu, A. and Sejjaaka, S.K. (2014). Intellectual </w:t>
      </w:r>
      <w:r w:rsidRPr="00EF0510">
        <w:rPr>
          <w:rFonts w:ascii="Times New Roman" w:hAnsi="Times New Roman" w:cs="Times New Roman"/>
          <w:sz w:val="24"/>
          <w:szCs w:val="24"/>
        </w:rPr>
        <w:br/>
        <w:t>capital in Ugandan service firms as a mediator of board governance and firm performance. African Journal of Economic and Management Studies, 5 (30). 300-340.</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Obid, S. N. S., &amp; Naysary, B. (2014). Toward a comprehensive theoretical framework for Shari’ah governance in Islamic financial institutions. </w:t>
      </w:r>
      <w:r w:rsidRPr="006E388F">
        <w:rPr>
          <w:rFonts w:asciiTheme="majorBidi" w:hAnsiTheme="majorBidi" w:cstheme="majorBidi"/>
          <w:i/>
          <w:iCs/>
        </w:rPr>
        <w:t>Journal of Financial Services Marketing</w:t>
      </w:r>
      <w:r w:rsidRPr="006E388F">
        <w:rPr>
          <w:rFonts w:asciiTheme="majorBidi" w:hAnsiTheme="majorBidi" w:cstheme="majorBidi"/>
        </w:rPr>
        <w:t xml:space="preserve"> 19(4), 304–318.</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Olson, D., &amp; Zoubi, T. a. (2008). Using accounting ratios to distinguish between Islamic and conventional banks in the GCC region. </w:t>
      </w:r>
      <w:r w:rsidRPr="006E388F">
        <w:rPr>
          <w:rFonts w:asciiTheme="majorBidi" w:hAnsiTheme="majorBidi" w:cstheme="majorBidi"/>
          <w:i/>
          <w:iCs/>
        </w:rPr>
        <w:t>The International Journal of Accounting</w:t>
      </w:r>
      <w:r w:rsidRPr="006E388F">
        <w:rPr>
          <w:rFonts w:asciiTheme="majorBidi" w:hAnsiTheme="majorBidi" w:cstheme="majorBidi"/>
        </w:rPr>
        <w:t>, 43, 45–65. http://doi.org/10.1016/j.intacc.2008.01.003</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Organization for Economic and Cooperation Development (OECD). (2000). Principles of Corporate Governance, OECD Publication Service, Paris.</w:t>
      </w:r>
    </w:p>
    <w:p w:rsidR="00B278B9"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Organization for Economic and Cooperation Development (OECD). (Revised 2004). Principles of Corporate Governance, OECD Publication Service, Paris.</w:t>
      </w:r>
    </w:p>
    <w:p w:rsidR="00F245D7" w:rsidRPr="00F245D7" w:rsidRDefault="00F245D7" w:rsidP="00F245D7">
      <w:pPr>
        <w:widowControl w:val="0"/>
        <w:autoSpaceDE w:val="0"/>
        <w:autoSpaceDN w:val="0"/>
        <w:adjustRightInd w:val="0"/>
        <w:spacing w:after="0" w:line="240" w:lineRule="auto"/>
        <w:ind w:left="480" w:hanging="480"/>
        <w:rPr>
          <w:rFonts w:asciiTheme="majorBidi" w:hAnsiTheme="majorBidi" w:cstheme="majorBidi"/>
          <w:sz w:val="24"/>
          <w:szCs w:val="24"/>
          <w:lang w:val="en-GB"/>
        </w:rPr>
      </w:pPr>
      <w:r w:rsidRPr="00F245D7">
        <w:rPr>
          <w:rFonts w:asciiTheme="majorBidi" w:hAnsiTheme="majorBidi" w:cstheme="majorBidi"/>
          <w:sz w:val="24"/>
          <w:szCs w:val="24"/>
          <w:lang w:val="en-GB"/>
        </w:rPr>
        <w:t xml:space="preserve">Pandya, H. (2011). Corporate Governance Structures and Financial Performance of Selected Indian Banks. </w:t>
      </w:r>
      <w:r w:rsidRPr="00F245D7">
        <w:rPr>
          <w:rFonts w:asciiTheme="majorBidi" w:hAnsiTheme="majorBidi" w:cstheme="majorBidi"/>
          <w:i/>
          <w:iCs/>
          <w:sz w:val="24"/>
          <w:szCs w:val="24"/>
          <w:lang w:val="en-GB"/>
        </w:rPr>
        <w:t>Journal of Management &amp; Public Policy</w:t>
      </w:r>
      <w:r w:rsidRPr="00F245D7">
        <w:rPr>
          <w:rFonts w:asciiTheme="majorBidi" w:hAnsiTheme="majorBidi" w:cstheme="majorBidi"/>
          <w:sz w:val="24"/>
          <w:szCs w:val="24"/>
          <w:lang w:val="en-GB"/>
        </w:rPr>
        <w:t xml:space="preserve">, </w:t>
      </w:r>
      <w:r w:rsidRPr="00F245D7">
        <w:rPr>
          <w:rFonts w:asciiTheme="majorBidi" w:hAnsiTheme="majorBidi" w:cstheme="majorBidi"/>
          <w:i/>
          <w:iCs/>
          <w:sz w:val="24"/>
          <w:szCs w:val="24"/>
          <w:lang w:val="en-GB"/>
        </w:rPr>
        <w:t>2</w:t>
      </w:r>
      <w:r w:rsidRPr="00F245D7">
        <w:rPr>
          <w:rFonts w:asciiTheme="majorBidi" w:hAnsiTheme="majorBidi" w:cstheme="majorBidi"/>
          <w:sz w:val="24"/>
          <w:szCs w:val="24"/>
          <w:lang w:val="en-GB"/>
        </w:rPr>
        <w:t>(2), 4–22.</w:t>
      </w:r>
    </w:p>
    <w:p w:rsidR="00B278B9"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Pathan, S., &amp; Faff, R. (2013). Does board structure in banks </w:t>
      </w:r>
      <w:r w:rsidR="00926543">
        <w:rPr>
          <w:rFonts w:asciiTheme="majorBidi" w:hAnsiTheme="majorBidi" w:cstheme="majorBidi"/>
        </w:rPr>
        <w:t>really affect their performance</w:t>
      </w:r>
      <w:r w:rsidRPr="006E388F">
        <w:rPr>
          <w:rFonts w:asciiTheme="majorBidi" w:hAnsiTheme="majorBidi" w:cstheme="majorBidi"/>
        </w:rPr>
        <w:t xml:space="preserve">? </w:t>
      </w:r>
      <w:r w:rsidRPr="006E388F">
        <w:rPr>
          <w:rFonts w:asciiTheme="majorBidi" w:hAnsiTheme="majorBidi" w:cstheme="majorBidi"/>
          <w:i/>
          <w:iCs/>
        </w:rPr>
        <w:t>Journal of Banking and Finance</w:t>
      </w:r>
      <w:r w:rsidRPr="006E388F">
        <w:rPr>
          <w:rFonts w:asciiTheme="majorBidi" w:hAnsiTheme="majorBidi" w:cstheme="majorBidi"/>
        </w:rPr>
        <w:t xml:space="preserve"> 37(5), 1573–1589. </w:t>
      </w:r>
      <w:hyperlink r:id="rId18" w:history="1">
        <w:r w:rsidR="00307265" w:rsidRPr="002C7D58">
          <w:rPr>
            <w:rStyle w:val="Hyperlink"/>
            <w:rFonts w:asciiTheme="majorBidi" w:hAnsiTheme="majorBidi" w:cstheme="majorBidi"/>
          </w:rPr>
          <w:t>http://doi.org/10.1016/j.jbankfin.2012.12.016</w:t>
        </w:r>
      </w:hyperlink>
    </w:p>
    <w:p w:rsidR="00307265" w:rsidRPr="00307265" w:rsidRDefault="00176589" w:rsidP="00307265">
      <w:pPr>
        <w:pStyle w:val="BodyTextFirstIndent"/>
        <w:spacing w:after="240" w:line="240" w:lineRule="auto"/>
        <w:ind w:left="709" w:hanging="709"/>
        <w:rPr>
          <w:rFonts w:asciiTheme="majorBidi" w:hAnsiTheme="majorBidi" w:cstheme="majorBidi"/>
          <w:sz w:val="24"/>
          <w:szCs w:val="24"/>
          <w:lang w:val="en-GB"/>
        </w:rPr>
      </w:pPr>
      <w:r>
        <w:rPr>
          <w:rFonts w:asciiTheme="majorBidi" w:hAnsiTheme="majorBidi" w:cstheme="majorBidi"/>
          <w:sz w:val="24"/>
          <w:szCs w:val="24"/>
          <w:lang w:val="en-GB"/>
        </w:rPr>
        <w:t>Pearce, J.A. II &amp;</w:t>
      </w:r>
      <w:r w:rsidR="00307265" w:rsidRPr="00307265">
        <w:rPr>
          <w:rFonts w:asciiTheme="majorBidi" w:hAnsiTheme="majorBidi" w:cstheme="majorBidi"/>
          <w:sz w:val="24"/>
          <w:szCs w:val="24"/>
          <w:lang w:val="en-GB"/>
        </w:rPr>
        <w:t xml:space="preserve"> Zahra, S.A. (1992), “Board composition from a strategic contingency perspective”. </w:t>
      </w:r>
      <w:r w:rsidR="00307265" w:rsidRPr="00307265">
        <w:rPr>
          <w:rFonts w:asciiTheme="majorBidi" w:hAnsiTheme="majorBidi" w:cstheme="majorBidi"/>
          <w:i/>
          <w:iCs/>
          <w:sz w:val="24"/>
          <w:szCs w:val="24"/>
          <w:lang w:val="en-GB"/>
        </w:rPr>
        <w:t>Journal of Management Studies</w:t>
      </w:r>
      <w:r w:rsidR="00307265" w:rsidRPr="00307265">
        <w:rPr>
          <w:rFonts w:asciiTheme="majorBidi" w:hAnsiTheme="majorBidi" w:cstheme="majorBidi"/>
          <w:sz w:val="24"/>
          <w:szCs w:val="24"/>
          <w:lang w:val="en-GB"/>
        </w:rPr>
        <w:t xml:space="preserve"> 29(4), 411-38.</w:t>
      </w:r>
    </w:p>
    <w:p w:rsidR="00952B22" w:rsidRPr="006E388F" w:rsidRDefault="00B278B9" w:rsidP="00307265">
      <w:pPr>
        <w:spacing w:after="0" w:line="240" w:lineRule="auto"/>
        <w:ind w:left="709" w:hanging="709"/>
        <w:jc w:val="both"/>
        <w:rPr>
          <w:rFonts w:asciiTheme="majorBidi" w:hAnsiTheme="majorBidi" w:cstheme="majorBidi"/>
          <w:sz w:val="24"/>
          <w:szCs w:val="24"/>
        </w:rPr>
      </w:pPr>
      <w:r w:rsidRPr="00307265">
        <w:rPr>
          <w:rFonts w:asciiTheme="majorBidi" w:hAnsiTheme="majorBidi" w:cstheme="majorBidi"/>
          <w:sz w:val="24"/>
          <w:szCs w:val="24"/>
        </w:rPr>
        <w:t>Petter</w:t>
      </w:r>
      <w:r w:rsidRPr="006E388F">
        <w:rPr>
          <w:rFonts w:asciiTheme="majorBidi" w:hAnsiTheme="majorBidi" w:cstheme="majorBidi"/>
          <w:sz w:val="24"/>
          <w:szCs w:val="24"/>
        </w:rPr>
        <w:t xml:space="preserve">, S., Straub, D., &amp; Rai, A. (2007). Specifying Formative Constructs in Information Systems Research. </w:t>
      </w:r>
      <w:r w:rsidRPr="006E388F">
        <w:rPr>
          <w:rFonts w:asciiTheme="majorBidi" w:hAnsiTheme="majorBidi" w:cstheme="majorBidi"/>
          <w:i/>
          <w:sz w:val="24"/>
          <w:szCs w:val="24"/>
        </w:rPr>
        <w:t xml:space="preserve"> MIS Quarterly</w:t>
      </w:r>
      <w:r w:rsidRPr="006E388F">
        <w:rPr>
          <w:rFonts w:asciiTheme="majorBidi" w:hAnsiTheme="majorBidi" w:cstheme="majorBidi"/>
          <w:sz w:val="24"/>
          <w:szCs w:val="24"/>
        </w:rPr>
        <w:t>, (31:4), 623-656.</w:t>
      </w:r>
    </w:p>
    <w:p w:rsidR="00952B22" w:rsidRPr="006E388F" w:rsidRDefault="00952B22" w:rsidP="006E388F">
      <w:pPr>
        <w:spacing w:after="0" w:line="240" w:lineRule="auto"/>
        <w:ind w:left="709" w:hanging="709"/>
        <w:jc w:val="both"/>
        <w:rPr>
          <w:rFonts w:asciiTheme="majorBidi" w:hAnsiTheme="majorBidi" w:cstheme="majorBidi"/>
          <w:sz w:val="24"/>
          <w:szCs w:val="24"/>
        </w:rPr>
      </w:pPr>
      <w:r w:rsidRPr="006E388F">
        <w:rPr>
          <w:rFonts w:asciiTheme="majorBidi" w:hAnsiTheme="majorBidi" w:cstheme="majorBidi"/>
          <w:sz w:val="24"/>
          <w:szCs w:val="24"/>
        </w:rPr>
        <w:t xml:space="preserve">Qasim, Y., Mohamad, Y., &amp; Ibrahim, N. (2017). Measuring the Performance of Jordanian Islamic Banks. </w:t>
      </w:r>
      <w:r w:rsidRPr="006E388F">
        <w:rPr>
          <w:rFonts w:asciiTheme="majorBidi" w:hAnsiTheme="majorBidi" w:cstheme="majorBidi"/>
          <w:i/>
          <w:sz w:val="24"/>
          <w:szCs w:val="24"/>
        </w:rPr>
        <w:t>Journal of Public Administration and Governance</w:t>
      </w:r>
      <w:r w:rsidRPr="006E388F">
        <w:rPr>
          <w:rFonts w:asciiTheme="majorBidi" w:hAnsiTheme="majorBidi" w:cstheme="majorBidi"/>
          <w:sz w:val="24"/>
          <w:szCs w:val="24"/>
        </w:rPr>
        <w:t>, 7(1), Pages 25-47.</w:t>
      </w:r>
    </w:p>
    <w:p w:rsidR="00B278B9" w:rsidRPr="006E388F" w:rsidRDefault="00B278B9" w:rsidP="006E388F">
      <w:pPr>
        <w:spacing w:after="0" w:line="240" w:lineRule="auto"/>
        <w:ind w:left="709" w:hanging="709"/>
        <w:jc w:val="both"/>
        <w:rPr>
          <w:rFonts w:asciiTheme="majorBidi" w:hAnsiTheme="majorBidi" w:cstheme="majorBidi"/>
          <w:sz w:val="24"/>
          <w:szCs w:val="24"/>
        </w:rPr>
      </w:pPr>
      <w:r w:rsidRPr="006E388F">
        <w:rPr>
          <w:rFonts w:asciiTheme="majorBidi" w:hAnsiTheme="majorBidi" w:cstheme="majorBidi"/>
          <w:sz w:val="24"/>
          <w:szCs w:val="24"/>
        </w:rPr>
        <w:t xml:space="preserve">Rammal, H. G. (2006). The Importance of Sharīʿah Supervision in IFIs. </w:t>
      </w:r>
      <w:r w:rsidRPr="006E388F">
        <w:rPr>
          <w:rFonts w:asciiTheme="majorBidi" w:hAnsiTheme="majorBidi" w:cstheme="majorBidi"/>
          <w:i/>
          <w:iCs/>
          <w:sz w:val="24"/>
          <w:szCs w:val="24"/>
        </w:rPr>
        <w:t xml:space="preserve">Corporate Ownership and Control </w:t>
      </w:r>
      <w:r w:rsidRPr="006E388F">
        <w:rPr>
          <w:rFonts w:asciiTheme="majorBidi" w:hAnsiTheme="majorBidi" w:cstheme="majorBidi"/>
          <w:sz w:val="24"/>
          <w:szCs w:val="24"/>
        </w:rPr>
        <w:t>3(3), 204-208.</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Rashid, M., Abdeljawad, I., Ngalim, S. M., &amp; Hassan, M. K. (2013). Customer‐centric corporate social responsibility: A Framework for Islamic banks on ethical efficiency. </w:t>
      </w:r>
      <w:r w:rsidRPr="006E388F">
        <w:rPr>
          <w:rFonts w:asciiTheme="majorBidi" w:hAnsiTheme="majorBidi" w:cstheme="majorBidi"/>
          <w:i/>
          <w:iCs/>
        </w:rPr>
        <w:t>Management Research Review</w:t>
      </w:r>
      <w:r w:rsidRPr="006E388F">
        <w:rPr>
          <w:rFonts w:asciiTheme="majorBidi" w:hAnsiTheme="majorBidi" w:cstheme="majorBidi"/>
        </w:rPr>
        <w:t xml:space="preserve"> 36(4), 359–378. http://doi.org/10.1108/01409171311314978</w:t>
      </w:r>
    </w:p>
    <w:p w:rsidR="00B278B9" w:rsidRPr="006E388F" w:rsidRDefault="00B278B9" w:rsidP="006E388F">
      <w:pPr>
        <w:pStyle w:val="BodyTextFirstIndent"/>
        <w:spacing w:after="0" w:line="240" w:lineRule="auto"/>
        <w:ind w:left="686" w:hanging="686"/>
        <w:jc w:val="both"/>
        <w:rPr>
          <w:rFonts w:asciiTheme="majorBidi" w:hAnsiTheme="majorBidi" w:cstheme="majorBidi"/>
          <w:sz w:val="24"/>
          <w:szCs w:val="24"/>
        </w:rPr>
      </w:pPr>
      <w:r w:rsidRPr="006E388F">
        <w:rPr>
          <w:rFonts w:asciiTheme="majorBidi" w:hAnsiTheme="majorBidi" w:cstheme="majorBidi"/>
          <w:sz w:val="24"/>
          <w:szCs w:val="24"/>
        </w:rPr>
        <w:t xml:space="preserve">Ringle, C. M., Sarstedt, M. &amp; Straub, D. (2012). A critical look at the use of PLS-SEM in MIS Quarterly. </w:t>
      </w:r>
      <w:r w:rsidRPr="006E388F">
        <w:rPr>
          <w:rFonts w:asciiTheme="majorBidi" w:hAnsiTheme="majorBidi" w:cstheme="majorBidi"/>
          <w:i/>
          <w:iCs/>
          <w:sz w:val="24"/>
          <w:szCs w:val="24"/>
        </w:rPr>
        <w:t>MIS Quarterly</w:t>
      </w:r>
      <w:r w:rsidRPr="006E388F">
        <w:rPr>
          <w:rFonts w:asciiTheme="majorBidi" w:hAnsiTheme="majorBidi" w:cstheme="majorBidi"/>
          <w:sz w:val="24"/>
          <w:szCs w:val="24"/>
        </w:rPr>
        <w:t xml:space="preserve"> 36(1), iii-xiv.</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Ringle, C., Wende, S., &amp; Will, A. (2004). SmartPLS 2.0.M3, Retrieved from http://www.smartpls.de</w:t>
      </w:r>
    </w:p>
    <w:p w:rsidR="00B278B9" w:rsidRPr="006E388F" w:rsidRDefault="00B278B9" w:rsidP="006E388F">
      <w:pPr>
        <w:pStyle w:val="BodyTextFirstIndent"/>
        <w:spacing w:after="0" w:line="240" w:lineRule="auto"/>
        <w:ind w:left="686" w:hanging="686"/>
        <w:jc w:val="both"/>
        <w:rPr>
          <w:rFonts w:asciiTheme="majorBidi" w:hAnsiTheme="majorBidi" w:cstheme="majorBidi"/>
          <w:sz w:val="24"/>
          <w:szCs w:val="24"/>
        </w:rPr>
      </w:pPr>
      <w:r w:rsidRPr="006E388F">
        <w:rPr>
          <w:rFonts w:asciiTheme="majorBidi" w:hAnsiTheme="majorBidi" w:cstheme="majorBidi"/>
          <w:sz w:val="24"/>
          <w:szCs w:val="24"/>
        </w:rPr>
        <w:t>Ross, S. A., Westerfield R.W., Jordan, B. D., Lim, J., Tan, R. (2016). Fundamentals of Corporate Finance, Asia Global Edition, (2</w:t>
      </w:r>
      <w:r w:rsidRPr="006E388F">
        <w:rPr>
          <w:rFonts w:asciiTheme="majorBidi" w:hAnsiTheme="majorBidi" w:cstheme="majorBidi"/>
          <w:sz w:val="24"/>
          <w:szCs w:val="24"/>
          <w:vertAlign w:val="superscript"/>
        </w:rPr>
        <w:t>nd</w:t>
      </w:r>
      <w:r w:rsidRPr="006E388F">
        <w:rPr>
          <w:rFonts w:asciiTheme="majorBidi" w:hAnsiTheme="majorBidi" w:cstheme="majorBidi"/>
          <w:sz w:val="24"/>
          <w:szCs w:val="24"/>
        </w:rPr>
        <w:t xml:space="preserve"> Ed.). Singapore: McGraw Hill Education. </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Rosly, S. A., &amp; Bakar, M. A. A. (2003). Performance of Islamic and mainstream banks in Malaysia. </w:t>
      </w:r>
      <w:r w:rsidRPr="006E388F">
        <w:rPr>
          <w:rFonts w:asciiTheme="majorBidi" w:hAnsiTheme="majorBidi" w:cstheme="majorBidi"/>
          <w:i/>
          <w:iCs/>
        </w:rPr>
        <w:t>International Journal of Social Economics</w:t>
      </w:r>
      <w:r w:rsidRPr="006E388F">
        <w:rPr>
          <w:rFonts w:asciiTheme="majorBidi" w:hAnsiTheme="majorBidi" w:cstheme="majorBidi"/>
        </w:rPr>
        <w:t xml:space="preserve"> 30(12), 1249–1265. http://doi.org/10.1108/03068290310500652</w:t>
      </w:r>
    </w:p>
    <w:p w:rsidR="00B278B9" w:rsidRPr="006E388F" w:rsidRDefault="0097489E"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lastRenderedPageBreak/>
        <w:t>Safied</w:t>
      </w:r>
      <w:r w:rsidR="00B278B9" w:rsidRPr="006E388F">
        <w:rPr>
          <w:rFonts w:asciiTheme="majorBidi" w:hAnsiTheme="majorBidi" w:cstheme="majorBidi"/>
        </w:rPr>
        <w:t xml:space="preserve">dine, A. (2009). Islamic Financial Institutions and Corporate Governance: An Insight for Agency Theory. </w:t>
      </w:r>
      <w:r w:rsidR="00B278B9" w:rsidRPr="006E388F">
        <w:rPr>
          <w:rFonts w:asciiTheme="majorBidi" w:hAnsiTheme="majorBidi" w:cstheme="majorBidi"/>
          <w:i/>
          <w:iCs/>
        </w:rPr>
        <w:t>Corporate Governance: An International Review</w:t>
      </w:r>
      <w:r w:rsidR="00B278B9" w:rsidRPr="006E388F">
        <w:rPr>
          <w:rFonts w:asciiTheme="majorBidi" w:hAnsiTheme="majorBidi" w:cstheme="majorBidi"/>
        </w:rPr>
        <w:t xml:space="preserve"> 17(2), 142-158.</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Samad, A., &amp; Hassan, M. K. (1999). The performance of Malaysian Islamic Bank during 1984-1997: An exploratory study.</w:t>
      </w:r>
      <w:r w:rsidRPr="006E388F">
        <w:rPr>
          <w:rFonts w:asciiTheme="majorBidi" w:hAnsiTheme="majorBidi" w:cstheme="majorBidi"/>
          <w:i/>
          <w:iCs/>
        </w:rPr>
        <w:t xml:space="preserve"> International Journal of Islamic Financial Services</w:t>
      </w:r>
      <w:r w:rsidRPr="006E388F">
        <w:rPr>
          <w:rFonts w:asciiTheme="majorBidi" w:hAnsiTheme="majorBidi" w:cstheme="majorBidi"/>
        </w:rPr>
        <w:t xml:space="preserve"> 1(3).</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Shaharuddin, A. (2011). Shari’ah Governance of Malaysian Islamic Banking Institutions.</w:t>
      </w:r>
      <w:r w:rsidRPr="006E388F">
        <w:rPr>
          <w:rFonts w:asciiTheme="majorBidi" w:hAnsiTheme="majorBidi" w:cstheme="majorBidi"/>
          <w:i/>
          <w:iCs/>
        </w:rPr>
        <w:t xml:space="preserve"> Jurnal Ekonomi</w:t>
      </w:r>
      <w:r w:rsidRPr="006E388F">
        <w:rPr>
          <w:rFonts w:asciiTheme="majorBidi" w:hAnsiTheme="majorBidi" w:cstheme="majorBidi"/>
        </w:rPr>
        <w:t xml:space="preserve"> 14(2), 53-57.</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Shahul Hameed, M. I., &amp; Yaya, R. (2005). The emerging issues on the objectives and characteristics of Islamic Accounting for Islamic business organisations. </w:t>
      </w:r>
      <w:r w:rsidRPr="006E388F">
        <w:rPr>
          <w:rFonts w:asciiTheme="majorBidi" w:hAnsiTheme="majorBidi" w:cstheme="majorBidi"/>
          <w:i/>
          <w:iCs/>
        </w:rPr>
        <w:t>Malaysian Accounting Review</w:t>
      </w:r>
      <w:r w:rsidRPr="006E388F">
        <w:rPr>
          <w:rFonts w:asciiTheme="majorBidi" w:hAnsiTheme="majorBidi" w:cstheme="majorBidi"/>
        </w:rPr>
        <w:t xml:space="preserve"> 4(1), 75–92.</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Shamsuddin, Z. &amp; Ismail, G. (2013). Agency Theory in Explaining Islamic Financial Contracts. </w:t>
      </w:r>
      <w:r w:rsidRPr="006E388F">
        <w:rPr>
          <w:rFonts w:asciiTheme="majorBidi" w:hAnsiTheme="majorBidi" w:cstheme="majorBidi"/>
          <w:i/>
          <w:iCs/>
        </w:rPr>
        <w:t xml:space="preserve">Middle-East Journal of Scientific Research </w:t>
      </w:r>
      <w:r w:rsidRPr="006E388F">
        <w:rPr>
          <w:rFonts w:asciiTheme="majorBidi" w:hAnsiTheme="majorBidi" w:cstheme="majorBidi"/>
        </w:rPr>
        <w:t>15 (4): 530-545.</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Tariqullah, K. (2006). Islamic Financial Architecture; Risk Management and Financial Stability, Islamic Development Bank, IRTI, Jeddah</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Wan Abdullah, W. A., Percy, M., &amp; Stewart, J. (2013). Shari’ah disclosures in Malaysian and Indonesian Islamic banks. </w:t>
      </w:r>
      <w:r w:rsidRPr="006E388F">
        <w:rPr>
          <w:rFonts w:asciiTheme="majorBidi" w:hAnsiTheme="majorBidi" w:cstheme="majorBidi"/>
          <w:i/>
          <w:iCs/>
        </w:rPr>
        <w:t>Journal of Islamic Accounting and Business Research</w:t>
      </w:r>
      <w:r w:rsidRPr="006E388F">
        <w:rPr>
          <w:rFonts w:asciiTheme="majorBidi" w:hAnsiTheme="majorBidi" w:cstheme="majorBidi"/>
        </w:rPr>
        <w:t xml:space="preserve"> 4(2), 100–131. http://doi.org/10.1108/JIABR-10-2012-0063</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Wasiuzzaman, S., &amp; Gunasegavan, U. N. (2013). Comparative study of the performance of Islamic and conventional banks: The case of Malaysia. Journal of Humanomics, 29(1), 43–60. http://doi.org/10.1108/08288661311299312</w:t>
      </w:r>
    </w:p>
    <w:p w:rsidR="00B278B9" w:rsidRPr="006E388F" w:rsidRDefault="00B278B9"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Yunis, H. (2007). Corporate governance for banks. In Archer, S &amp; Abdel Karim (Ed.). </w:t>
      </w:r>
      <w:r w:rsidRPr="006E388F">
        <w:rPr>
          <w:rFonts w:asciiTheme="majorBidi" w:hAnsiTheme="majorBidi" w:cstheme="majorBidi"/>
          <w:i/>
          <w:iCs/>
        </w:rPr>
        <w:t xml:space="preserve">Islamic Finance:  The regulatory challenge </w:t>
      </w:r>
      <w:r w:rsidRPr="006E388F">
        <w:rPr>
          <w:rFonts w:asciiTheme="majorBidi" w:hAnsiTheme="majorBidi" w:cstheme="majorBidi"/>
        </w:rPr>
        <w:t>(pp. 295 -309). Singapore:  John Wiley &amp; Sons (Asia) Pte Ltd.</w:t>
      </w:r>
    </w:p>
    <w:p w:rsidR="00B278B9" w:rsidRPr="006E388F" w:rsidRDefault="00F775C7" w:rsidP="006E388F">
      <w:pPr>
        <w:pStyle w:val="BodyText"/>
        <w:spacing w:line="240" w:lineRule="auto"/>
        <w:ind w:left="686" w:hanging="686"/>
        <w:rPr>
          <w:rFonts w:asciiTheme="majorBidi" w:hAnsiTheme="majorBidi" w:cstheme="majorBidi"/>
        </w:rPr>
      </w:pPr>
      <w:r w:rsidRPr="006E388F">
        <w:rPr>
          <w:rFonts w:asciiTheme="majorBidi" w:hAnsiTheme="majorBidi" w:cstheme="majorBidi"/>
        </w:rPr>
        <w:t xml:space="preserve">Zagorchev, A., &amp; </w:t>
      </w:r>
      <w:r w:rsidR="00B278B9" w:rsidRPr="006E388F">
        <w:rPr>
          <w:rFonts w:asciiTheme="majorBidi" w:hAnsiTheme="majorBidi" w:cstheme="majorBidi"/>
        </w:rPr>
        <w:t xml:space="preserve">Gao, L. (2015). Corporate governance and performance of financial institutions. </w:t>
      </w:r>
      <w:r w:rsidR="00B278B9" w:rsidRPr="006E388F">
        <w:rPr>
          <w:rFonts w:asciiTheme="majorBidi" w:hAnsiTheme="majorBidi" w:cstheme="majorBidi"/>
          <w:i/>
          <w:iCs/>
        </w:rPr>
        <w:t>Journal of Economics and Business</w:t>
      </w:r>
      <w:r w:rsidR="00B278B9" w:rsidRPr="006E388F">
        <w:rPr>
          <w:rFonts w:asciiTheme="majorBidi" w:hAnsiTheme="majorBidi" w:cstheme="majorBidi"/>
        </w:rPr>
        <w:t xml:space="preserve"> 82, 17–41. http://doi.org/10.1016/j.jeconbus.2015.04.004</w:t>
      </w:r>
    </w:p>
    <w:p w:rsidR="00B278B9" w:rsidRPr="006E388F" w:rsidRDefault="00B278B9" w:rsidP="006E388F">
      <w:pPr>
        <w:spacing w:after="0" w:line="240" w:lineRule="auto"/>
        <w:jc w:val="both"/>
        <w:rPr>
          <w:rFonts w:asciiTheme="majorBidi" w:hAnsiTheme="majorBidi" w:cstheme="majorBidi"/>
          <w:b/>
          <w:bCs/>
          <w:sz w:val="24"/>
          <w:szCs w:val="24"/>
        </w:rPr>
      </w:pPr>
    </w:p>
    <w:sectPr w:rsidR="00B278B9" w:rsidRPr="006E388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6E9" w:rsidRDefault="001506E9" w:rsidP="00F3244C">
      <w:pPr>
        <w:spacing w:after="0" w:line="240" w:lineRule="auto"/>
      </w:pPr>
      <w:r>
        <w:separator/>
      </w:r>
    </w:p>
  </w:endnote>
  <w:endnote w:type="continuationSeparator" w:id="0">
    <w:p w:rsidR="001506E9" w:rsidRDefault="001506E9" w:rsidP="00F3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70299"/>
      <w:docPartObj>
        <w:docPartGallery w:val="Page Numbers (Bottom of Page)"/>
        <w:docPartUnique/>
      </w:docPartObj>
    </w:sdtPr>
    <w:sdtEndPr>
      <w:rPr>
        <w:noProof/>
      </w:rPr>
    </w:sdtEndPr>
    <w:sdtContent>
      <w:p w:rsidR="001506E9" w:rsidRDefault="001506E9">
        <w:pPr>
          <w:pStyle w:val="Footer"/>
          <w:jc w:val="right"/>
        </w:pPr>
        <w:r>
          <w:fldChar w:fldCharType="begin"/>
        </w:r>
        <w:r>
          <w:instrText xml:space="preserve"> PAGE   \* MERGEFORMAT </w:instrText>
        </w:r>
        <w:r>
          <w:fldChar w:fldCharType="separate"/>
        </w:r>
        <w:r w:rsidR="00E0207E">
          <w:rPr>
            <w:noProof/>
          </w:rPr>
          <w:t>1</w:t>
        </w:r>
        <w:r>
          <w:rPr>
            <w:noProof/>
          </w:rPr>
          <w:fldChar w:fldCharType="end"/>
        </w:r>
      </w:p>
    </w:sdtContent>
  </w:sdt>
  <w:p w:rsidR="001506E9" w:rsidRDefault="001506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6E9" w:rsidRDefault="001506E9" w:rsidP="00F3244C">
      <w:pPr>
        <w:spacing w:after="0" w:line="240" w:lineRule="auto"/>
      </w:pPr>
      <w:r>
        <w:separator/>
      </w:r>
    </w:p>
  </w:footnote>
  <w:footnote w:type="continuationSeparator" w:id="0">
    <w:p w:rsidR="001506E9" w:rsidRDefault="001506E9" w:rsidP="00F32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A38"/>
    <w:multiLevelType w:val="hybridMultilevel"/>
    <w:tmpl w:val="FAC61FF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B87E8E"/>
    <w:multiLevelType w:val="hybridMultilevel"/>
    <w:tmpl w:val="3E047416"/>
    <w:lvl w:ilvl="0" w:tplc="666E2838">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098B37FE"/>
    <w:multiLevelType w:val="multilevel"/>
    <w:tmpl w:val="780C06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7342A1"/>
    <w:multiLevelType w:val="hybridMultilevel"/>
    <w:tmpl w:val="2AAEC484"/>
    <w:lvl w:ilvl="0" w:tplc="B2ECBD6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AC45102"/>
    <w:multiLevelType w:val="hybridMultilevel"/>
    <w:tmpl w:val="49D60094"/>
    <w:lvl w:ilvl="0" w:tplc="EEBC493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33CC57AD"/>
    <w:multiLevelType w:val="hybridMultilevel"/>
    <w:tmpl w:val="B9848A24"/>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5190861"/>
    <w:multiLevelType w:val="multilevel"/>
    <w:tmpl w:val="3B2E9B9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5E6909"/>
    <w:multiLevelType w:val="hybridMultilevel"/>
    <w:tmpl w:val="A3741890"/>
    <w:lvl w:ilvl="0" w:tplc="D504982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9F20553"/>
    <w:multiLevelType w:val="hybridMultilevel"/>
    <w:tmpl w:val="D826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C30AD"/>
    <w:multiLevelType w:val="hybridMultilevel"/>
    <w:tmpl w:val="06EE51AC"/>
    <w:lvl w:ilvl="0" w:tplc="D8586960">
      <w:start w:val="4"/>
      <w:numFmt w:val="bullet"/>
      <w:lvlText w:val=""/>
      <w:lvlJc w:val="left"/>
      <w:pPr>
        <w:ind w:left="720" w:hanging="360"/>
      </w:pPr>
      <w:rPr>
        <w:rFonts w:ascii="Symbol" w:eastAsiaTheme="minorHAnsi" w:hAnsi="Symbol" w:cstheme="majorBidi"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0" w15:restartNumberingAfterBreak="0">
    <w:nsid w:val="51CF4BB2"/>
    <w:multiLevelType w:val="hybridMultilevel"/>
    <w:tmpl w:val="6FE4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86DFA"/>
    <w:multiLevelType w:val="multilevel"/>
    <w:tmpl w:val="3572CA30"/>
    <w:lvl w:ilvl="0">
      <w:start w:val="1"/>
      <w:numFmt w:val="decimal"/>
      <w:pStyle w:val="Heading1"/>
      <w:lvlText w:val="%1."/>
      <w:lvlJc w:val="left"/>
      <w:pPr>
        <w:tabs>
          <w:tab w:val="num" w:pos="360"/>
        </w:tabs>
        <w:ind w:left="0" w:firstLine="0"/>
      </w:pPr>
      <w:rPr>
        <w:rFonts w:hint="default"/>
        <w:vanish/>
      </w:rPr>
    </w:lvl>
    <w:lvl w:ilvl="1">
      <w:start w:val="1"/>
      <w:numFmt w:val="decimal"/>
      <w:pStyle w:val="Heading2"/>
      <w:isLgl/>
      <w:lvlText w:val="%1.%2"/>
      <w:lvlJc w:val="left"/>
      <w:pPr>
        <w:tabs>
          <w:tab w:val="num" w:pos="576"/>
        </w:tabs>
        <w:ind w:left="576" w:hanging="576"/>
      </w:pPr>
      <w:rPr>
        <w:rFonts w:hint="default"/>
        <w:color w:val="auto"/>
      </w:rPr>
    </w:lvl>
    <w:lvl w:ilvl="2">
      <w:start w:val="1"/>
      <w:numFmt w:val="decimal"/>
      <w:pStyle w:val="Heading3"/>
      <w:isLgl/>
      <w:lvlText w:val="%1.%2.%3"/>
      <w:lvlJc w:val="left"/>
      <w:pPr>
        <w:tabs>
          <w:tab w:val="num" w:pos="720"/>
        </w:tabs>
        <w:ind w:left="720" w:hanging="720"/>
      </w:pPr>
      <w:rPr>
        <w:rFonts w:hint="default"/>
      </w:rPr>
    </w:lvl>
    <w:lvl w:ilvl="3">
      <w:start w:val="1"/>
      <w:numFmt w:val="decimal"/>
      <w:pStyle w:val="Heading4"/>
      <w:isLgl/>
      <w:lvlText w:val="%1.%2.%3.%4"/>
      <w:lvlJc w:val="left"/>
      <w:pPr>
        <w:tabs>
          <w:tab w:val="num" w:pos="864"/>
        </w:tabs>
        <w:ind w:left="864" w:hanging="864"/>
      </w:pPr>
      <w:rPr>
        <w:rFonts w:hint="default"/>
      </w:rPr>
    </w:lvl>
    <w:lvl w:ilvl="4">
      <w:start w:val="1"/>
      <w:numFmt w:val="decimal"/>
      <w:pStyle w:val="Heading5"/>
      <w:isLgl/>
      <w:lvlText w:val="%1.%2.%3.%4.%5"/>
      <w:lvlJc w:val="left"/>
      <w:pPr>
        <w:tabs>
          <w:tab w:val="num" w:pos="1008"/>
        </w:tabs>
        <w:ind w:left="1008" w:hanging="1008"/>
      </w:pPr>
      <w:rPr>
        <w:rFonts w:hint="default"/>
      </w:rPr>
    </w:lvl>
    <w:lvl w:ilvl="5">
      <w:start w:val="1"/>
      <w:numFmt w:val="decimal"/>
      <w:pStyle w:val="Heading6"/>
      <w:isLgl/>
      <w:lvlText w:val="%1.%2.%3.%4.%5.%6"/>
      <w:lvlJc w:val="left"/>
      <w:pPr>
        <w:tabs>
          <w:tab w:val="num" w:pos="1152"/>
        </w:tabs>
        <w:ind w:left="1152" w:hanging="1152"/>
      </w:pPr>
      <w:rPr>
        <w:rFonts w:hint="default"/>
      </w:rPr>
    </w:lvl>
    <w:lvl w:ilvl="6">
      <w:start w:val="1"/>
      <w:numFmt w:val="decimal"/>
      <w:isLgl/>
      <w:lvlText w:val="%1.%2.%3.%4.%5.%6.%7"/>
      <w:lvlJc w:val="left"/>
      <w:pPr>
        <w:tabs>
          <w:tab w:val="num" w:pos="1296"/>
        </w:tabs>
        <w:ind w:left="1296" w:hanging="129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584"/>
        </w:tabs>
        <w:ind w:left="1584" w:hanging="1584"/>
      </w:pPr>
      <w:rPr>
        <w:rFonts w:hint="default"/>
      </w:rPr>
    </w:lvl>
  </w:abstractNum>
  <w:abstractNum w:abstractNumId="12" w15:restartNumberingAfterBreak="0">
    <w:nsid w:val="75935432"/>
    <w:multiLevelType w:val="hybridMultilevel"/>
    <w:tmpl w:val="3C9A4216"/>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8"/>
  </w:num>
  <w:num w:numId="5">
    <w:abstractNumId w:val="10"/>
  </w:num>
  <w:num w:numId="6">
    <w:abstractNumId w:val="6"/>
  </w:num>
  <w:num w:numId="7">
    <w:abstractNumId w:val="12"/>
  </w:num>
  <w:num w:numId="8">
    <w:abstractNumId w:val="1"/>
  </w:num>
  <w:num w:numId="9">
    <w:abstractNumId w:val="7"/>
  </w:num>
  <w:num w:numId="10">
    <w:abstractNumId w:val="4"/>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EF"/>
    <w:rsid w:val="00003524"/>
    <w:rsid w:val="00004C6C"/>
    <w:rsid w:val="0004492F"/>
    <w:rsid w:val="000633BD"/>
    <w:rsid w:val="00063511"/>
    <w:rsid w:val="00084524"/>
    <w:rsid w:val="0008453E"/>
    <w:rsid w:val="00085B6A"/>
    <w:rsid w:val="000C1D40"/>
    <w:rsid w:val="000C53A8"/>
    <w:rsid w:val="000D1609"/>
    <w:rsid w:val="001040B9"/>
    <w:rsid w:val="00117B04"/>
    <w:rsid w:val="00130B86"/>
    <w:rsid w:val="001363A8"/>
    <w:rsid w:val="001506E9"/>
    <w:rsid w:val="001510D5"/>
    <w:rsid w:val="001547F0"/>
    <w:rsid w:val="00155AF8"/>
    <w:rsid w:val="00165430"/>
    <w:rsid w:val="00165C2E"/>
    <w:rsid w:val="00176589"/>
    <w:rsid w:val="00180968"/>
    <w:rsid w:val="001A1EDF"/>
    <w:rsid w:val="001A3E2B"/>
    <w:rsid w:val="001A72C3"/>
    <w:rsid w:val="001B5A1F"/>
    <w:rsid w:val="001F5BCC"/>
    <w:rsid w:val="00220828"/>
    <w:rsid w:val="00243721"/>
    <w:rsid w:val="002466B3"/>
    <w:rsid w:val="002514C1"/>
    <w:rsid w:val="00263A01"/>
    <w:rsid w:val="00267D8C"/>
    <w:rsid w:val="00273ACC"/>
    <w:rsid w:val="0027508D"/>
    <w:rsid w:val="002A32D3"/>
    <w:rsid w:val="002A4D88"/>
    <w:rsid w:val="002A76FF"/>
    <w:rsid w:val="002E3FE2"/>
    <w:rsid w:val="002F5C67"/>
    <w:rsid w:val="00307265"/>
    <w:rsid w:val="00317786"/>
    <w:rsid w:val="00324EF6"/>
    <w:rsid w:val="00335F5F"/>
    <w:rsid w:val="00337DB0"/>
    <w:rsid w:val="0034684B"/>
    <w:rsid w:val="00355D68"/>
    <w:rsid w:val="003640BB"/>
    <w:rsid w:val="00367D8A"/>
    <w:rsid w:val="0038251C"/>
    <w:rsid w:val="00385A4D"/>
    <w:rsid w:val="00390AFE"/>
    <w:rsid w:val="003939D5"/>
    <w:rsid w:val="003A3CD0"/>
    <w:rsid w:val="003B3DF3"/>
    <w:rsid w:val="003E1699"/>
    <w:rsid w:val="003F78DA"/>
    <w:rsid w:val="00431708"/>
    <w:rsid w:val="00434535"/>
    <w:rsid w:val="004550DC"/>
    <w:rsid w:val="00470B43"/>
    <w:rsid w:val="004713EE"/>
    <w:rsid w:val="00482E94"/>
    <w:rsid w:val="004A03D6"/>
    <w:rsid w:val="004A13D2"/>
    <w:rsid w:val="004B30D1"/>
    <w:rsid w:val="004D2429"/>
    <w:rsid w:val="004F6C1E"/>
    <w:rsid w:val="005208CC"/>
    <w:rsid w:val="00523044"/>
    <w:rsid w:val="00556A6F"/>
    <w:rsid w:val="00564BE9"/>
    <w:rsid w:val="005A60E6"/>
    <w:rsid w:val="005C7D70"/>
    <w:rsid w:val="005D2BFC"/>
    <w:rsid w:val="005E13A3"/>
    <w:rsid w:val="005E4A70"/>
    <w:rsid w:val="005E4DBF"/>
    <w:rsid w:val="005E6E46"/>
    <w:rsid w:val="00601C3D"/>
    <w:rsid w:val="00615B42"/>
    <w:rsid w:val="006245D8"/>
    <w:rsid w:val="00682CF2"/>
    <w:rsid w:val="006A0B81"/>
    <w:rsid w:val="006A5FC4"/>
    <w:rsid w:val="006B5532"/>
    <w:rsid w:val="006B7BE8"/>
    <w:rsid w:val="006C4459"/>
    <w:rsid w:val="006E388F"/>
    <w:rsid w:val="006E664B"/>
    <w:rsid w:val="006F3046"/>
    <w:rsid w:val="007114BE"/>
    <w:rsid w:val="007209CF"/>
    <w:rsid w:val="00755089"/>
    <w:rsid w:val="0076252C"/>
    <w:rsid w:val="007772A3"/>
    <w:rsid w:val="00780BD0"/>
    <w:rsid w:val="00781566"/>
    <w:rsid w:val="007874FA"/>
    <w:rsid w:val="007907A2"/>
    <w:rsid w:val="007938FA"/>
    <w:rsid w:val="007A5181"/>
    <w:rsid w:val="007B11BF"/>
    <w:rsid w:val="007C08E1"/>
    <w:rsid w:val="007D2BF3"/>
    <w:rsid w:val="007E545B"/>
    <w:rsid w:val="007F04E2"/>
    <w:rsid w:val="00803ABB"/>
    <w:rsid w:val="00812331"/>
    <w:rsid w:val="008159CF"/>
    <w:rsid w:val="00821816"/>
    <w:rsid w:val="00876160"/>
    <w:rsid w:val="00891B66"/>
    <w:rsid w:val="00894C69"/>
    <w:rsid w:val="00897AB8"/>
    <w:rsid w:val="008A563A"/>
    <w:rsid w:val="008C63FD"/>
    <w:rsid w:val="008D7FCC"/>
    <w:rsid w:val="008F13FD"/>
    <w:rsid w:val="00926543"/>
    <w:rsid w:val="00936A4F"/>
    <w:rsid w:val="00947BFC"/>
    <w:rsid w:val="00952B22"/>
    <w:rsid w:val="00953B30"/>
    <w:rsid w:val="00965F85"/>
    <w:rsid w:val="0096726F"/>
    <w:rsid w:val="0096743F"/>
    <w:rsid w:val="0097489E"/>
    <w:rsid w:val="00980EC8"/>
    <w:rsid w:val="00982DA8"/>
    <w:rsid w:val="00985399"/>
    <w:rsid w:val="009B287A"/>
    <w:rsid w:val="009B516B"/>
    <w:rsid w:val="009B588E"/>
    <w:rsid w:val="009B6D52"/>
    <w:rsid w:val="009F0759"/>
    <w:rsid w:val="00A21329"/>
    <w:rsid w:val="00A63BF9"/>
    <w:rsid w:val="00A64105"/>
    <w:rsid w:val="00A712F9"/>
    <w:rsid w:val="00A93748"/>
    <w:rsid w:val="00AA5E29"/>
    <w:rsid w:val="00AA69F7"/>
    <w:rsid w:val="00AB4722"/>
    <w:rsid w:val="00AC14A5"/>
    <w:rsid w:val="00AC166E"/>
    <w:rsid w:val="00AC2E05"/>
    <w:rsid w:val="00AD30CF"/>
    <w:rsid w:val="00AF1446"/>
    <w:rsid w:val="00B0689E"/>
    <w:rsid w:val="00B06AE6"/>
    <w:rsid w:val="00B17628"/>
    <w:rsid w:val="00B278B9"/>
    <w:rsid w:val="00B46ED8"/>
    <w:rsid w:val="00B53509"/>
    <w:rsid w:val="00B541D2"/>
    <w:rsid w:val="00B909C2"/>
    <w:rsid w:val="00BB374A"/>
    <w:rsid w:val="00BC5C00"/>
    <w:rsid w:val="00BE19A5"/>
    <w:rsid w:val="00C006B4"/>
    <w:rsid w:val="00C06B69"/>
    <w:rsid w:val="00C17986"/>
    <w:rsid w:val="00C2445D"/>
    <w:rsid w:val="00C275D1"/>
    <w:rsid w:val="00C42BCF"/>
    <w:rsid w:val="00C800AD"/>
    <w:rsid w:val="00C92F52"/>
    <w:rsid w:val="00C943D1"/>
    <w:rsid w:val="00CA2DE0"/>
    <w:rsid w:val="00CA30DA"/>
    <w:rsid w:val="00CB5853"/>
    <w:rsid w:val="00CB7F55"/>
    <w:rsid w:val="00CC2AA1"/>
    <w:rsid w:val="00CF6C58"/>
    <w:rsid w:val="00D011D6"/>
    <w:rsid w:val="00D03DB9"/>
    <w:rsid w:val="00D066DA"/>
    <w:rsid w:val="00D12944"/>
    <w:rsid w:val="00D15658"/>
    <w:rsid w:val="00D373C2"/>
    <w:rsid w:val="00D46CDE"/>
    <w:rsid w:val="00D55D62"/>
    <w:rsid w:val="00D61EAA"/>
    <w:rsid w:val="00D909EA"/>
    <w:rsid w:val="00DB4AAA"/>
    <w:rsid w:val="00DB5688"/>
    <w:rsid w:val="00DC3878"/>
    <w:rsid w:val="00DD44AD"/>
    <w:rsid w:val="00DF6044"/>
    <w:rsid w:val="00DF738F"/>
    <w:rsid w:val="00E002E5"/>
    <w:rsid w:val="00E00D24"/>
    <w:rsid w:val="00E0207E"/>
    <w:rsid w:val="00E022E0"/>
    <w:rsid w:val="00E069EF"/>
    <w:rsid w:val="00E1360C"/>
    <w:rsid w:val="00E3054B"/>
    <w:rsid w:val="00E42CDB"/>
    <w:rsid w:val="00ED7B71"/>
    <w:rsid w:val="00EE0F2D"/>
    <w:rsid w:val="00EF0510"/>
    <w:rsid w:val="00F011EA"/>
    <w:rsid w:val="00F22AB5"/>
    <w:rsid w:val="00F245D7"/>
    <w:rsid w:val="00F3244C"/>
    <w:rsid w:val="00F506CA"/>
    <w:rsid w:val="00F73860"/>
    <w:rsid w:val="00F7442C"/>
    <w:rsid w:val="00F775C7"/>
    <w:rsid w:val="00F80E34"/>
    <w:rsid w:val="00F83712"/>
    <w:rsid w:val="00F93DE5"/>
    <w:rsid w:val="00FB1FE6"/>
    <w:rsid w:val="00FB4091"/>
    <w:rsid w:val="00FC4293"/>
    <w:rsid w:val="00FD59AE"/>
    <w:rsid w:val="00FE0680"/>
    <w:rsid w:val="00FE4804"/>
    <w:rsid w:val="00FE70EF"/>
    <w:rsid w:val="00FF68D9"/>
    <w:rsid w:val="00FF7A5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14FA"/>
  <w15:docId w15:val="{9463DD1F-DB0A-4D9D-9AAF-A1E480D8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Text"/>
    <w:link w:val="Heading1Char"/>
    <w:uiPriority w:val="9"/>
    <w:qFormat/>
    <w:rsid w:val="00A63BF9"/>
    <w:pPr>
      <w:keepNext/>
      <w:keepLines/>
      <w:numPr>
        <w:numId w:val="2"/>
      </w:numPr>
      <w:suppressAutoHyphens/>
      <w:spacing w:after="0" w:line="240" w:lineRule="auto"/>
      <w:jc w:val="center"/>
      <w:outlineLvl w:val="0"/>
    </w:pPr>
    <w:rPr>
      <w:rFonts w:ascii="Times New Roman" w:eastAsia="Times New Roman" w:hAnsi="Times New Roman" w:cs="Arial"/>
      <w:b/>
      <w:bCs/>
      <w:caps/>
      <w:kern w:val="32"/>
      <w:sz w:val="28"/>
      <w:szCs w:val="32"/>
      <w:lang w:val="en-US"/>
    </w:rPr>
  </w:style>
  <w:style w:type="paragraph" w:styleId="Heading2">
    <w:name w:val="heading 2"/>
    <w:basedOn w:val="Heading1"/>
    <w:next w:val="Normal"/>
    <w:link w:val="Heading2Char"/>
    <w:uiPriority w:val="9"/>
    <w:qFormat/>
    <w:rsid w:val="00A63BF9"/>
    <w:pPr>
      <w:numPr>
        <w:ilvl w:val="1"/>
      </w:numPr>
      <w:spacing w:line="480" w:lineRule="auto"/>
      <w:jc w:val="left"/>
      <w:outlineLvl w:val="1"/>
    </w:pPr>
    <w:rPr>
      <w:bCs w:val="0"/>
      <w:iCs/>
      <w:sz w:val="24"/>
      <w:szCs w:val="28"/>
    </w:rPr>
  </w:style>
  <w:style w:type="paragraph" w:styleId="Heading3">
    <w:name w:val="heading 3"/>
    <w:basedOn w:val="Heading2"/>
    <w:next w:val="BodyText"/>
    <w:link w:val="Heading3Char"/>
    <w:uiPriority w:val="9"/>
    <w:qFormat/>
    <w:rsid w:val="00A63BF9"/>
    <w:pPr>
      <w:numPr>
        <w:ilvl w:val="2"/>
      </w:numPr>
      <w:outlineLvl w:val="2"/>
    </w:pPr>
    <w:rPr>
      <w:bCs/>
      <w:caps w:val="0"/>
      <w:szCs w:val="26"/>
    </w:rPr>
  </w:style>
  <w:style w:type="paragraph" w:styleId="Heading4">
    <w:name w:val="heading 4"/>
    <w:basedOn w:val="Heading3"/>
    <w:next w:val="BodyText"/>
    <w:link w:val="Heading4Char"/>
    <w:uiPriority w:val="9"/>
    <w:qFormat/>
    <w:rsid w:val="00A63BF9"/>
    <w:pPr>
      <w:numPr>
        <w:ilvl w:val="3"/>
      </w:numPr>
      <w:ind w:left="862" w:hanging="862"/>
      <w:outlineLvl w:val="3"/>
    </w:pPr>
    <w:rPr>
      <w:bCs w:val="0"/>
      <w:i/>
      <w:szCs w:val="28"/>
    </w:rPr>
  </w:style>
  <w:style w:type="paragraph" w:styleId="Heading5">
    <w:name w:val="heading 5"/>
    <w:basedOn w:val="Heading4"/>
    <w:next w:val="BodyText"/>
    <w:link w:val="Heading5Char"/>
    <w:qFormat/>
    <w:rsid w:val="00A63BF9"/>
    <w:pPr>
      <w:numPr>
        <w:ilvl w:val="4"/>
      </w:numPr>
      <w:ind w:left="1009" w:hanging="1009"/>
      <w:outlineLvl w:val="4"/>
    </w:pPr>
    <w:rPr>
      <w:b w:val="0"/>
      <w:bCs/>
      <w:iCs w:val="0"/>
      <w:szCs w:val="26"/>
      <w:u w:val="single"/>
    </w:rPr>
  </w:style>
  <w:style w:type="paragraph" w:styleId="Heading6">
    <w:name w:val="heading 6"/>
    <w:basedOn w:val="Heading5"/>
    <w:next w:val="BodyText"/>
    <w:link w:val="Heading6Char"/>
    <w:qFormat/>
    <w:rsid w:val="00A63BF9"/>
    <w:pPr>
      <w:numPr>
        <w:ilvl w:val="5"/>
      </w:numPr>
      <w:ind w:left="1151" w:hanging="1151"/>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88E"/>
    <w:rPr>
      <w:color w:val="0563C1" w:themeColor="hyperlink"/>
      <w:u w:val="single"/>
    </w:rPr>
  </w:style>
  <w:style w:type="character" w:customStyle="1" w:styleId="c4z2avtcy">
    <w:name w:val="c4_z2avtcy"/>
    <w:basedOn w:val="DefaultParagraphFont"/>
    <w:rsid w:val="009B588E"/>
  </w:style>
  <w:style w:type="character" w:customStyle="1" w:styleId="CharAttribute2">
    <w:name w:val="CharAttribute2"/>
    <w:rsid w:val="009B588E"/>
    <w:rPr>
      <w:rFonts w:ascii="Times New Roman" w:eastAsia="Times New Roman"/>
      <w:sz w:val="24"/>
    </w:rPr>
  </w:style>
  <w:style w:type="paragraph" w:styleId="BodyText">
    <w:name w:val="Body Text"/>
    <w:basedOn w:val="Normal"/>
    <w:next w:val="BodyTextFirstIndent"/>
    <w:link w:val="BodyTextChar"/>
    <w:rsid w:val="009B588E"/>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B588E"/>
    <w:rPr>
      <w:rFonts w:ascii="Times New Roman" w:eastAsia="Times New Roman" w:hAnsi="Times New Roman" w:cs="Times New Roman"/>
      <w:sz w:val="24"/>
      <w:szCs w:val="24"/>
      <w:lang w:val="en-US"/>
    </w:rPr>
  </w:style>
  <w:style w:type="paragraph" w:customStyle="1" w:styleId="ParaAttribute12">
    <w:name w:val="ParaAttribute12"/>
    <w:rsid w:val="009B588E"/>
    <w:pPr>
      <w:spacing w:after="0" w:line="240" w:lineRule="auto"/>
      <w:jc w:val="both"/>
    </w:pPr>
    <w:rPr>
      <w:rFonts w:ascii="Times New Roman" w:eastAsia="Batang" w:hAnsi="Times New Roman" w:cs="Times New Roman"/>
      <w:sz w:val="20"/>
      <w:szCs w:val="20"/>
      <w:lang w:eastAsia="en-MY"/>
    </w:rPr>
  </w:style>
  <w:style w:type="paragraph" w:styleId="BodyTextFirstIndent">
    <w:name w:val="Body Text First Indent"/>
    <w:basedOn w:val="BodyText"/>
    <w:link w:val="BodyTextFirstIndentChar"/>
    <w:unhideWhenUsed/>
    <w:rsid w:val="009B588E"/>
    <w:pPr>
      <w:spacing w:after="160" w:line="259" w:lineRule="auto"/>
      <w:ind w:firstLine="360"/>
      <w:jc w:val="left"/>
    </w:pPr>
    <w:rPr>
      <w:rFonts w:asciiTheme="minorHAnsi" w:eastAsiaTheme="minorHAnsi" w:hAnsiTheme="minorHAnsi" w:cstheme="minorBidi"/>
      <w:sz w:val="22"/>
      <w:szCs w:val="22"/>
      <w:lang w:val="en-MY"/>
    </w:rPr>
  </w:style>
  <w:style w:type="character" w:customStyle="1" w:styleId="BodyTextFirstIndentChar">
    <w:name w:val="Body Text First Indent Char"/>
    <w:basedOn w:val="BodyTextChar"/>
    <w:link w:val="BodyTextFirstIndent"/>
    <w:rsid w:val="009B588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E3FE2"/>
    <w:pPr>
      <w:spacing w:before="240" w:after="240" w:line="480" w:lineRule="auto"/>
      <w:ind w:left="720"/>
      <w:contextualSpacing/>
      <w:jc w:val="both"/>
    </w:pPr>
    <w:rPr>
      <w:rFonts w:ascii="Times New Roman" w:eastAsia="Calibri" w:hAnsi="Times New Roman" w:cs="Traditional Arabic"/>
      <w:sz w:val="24"/>
      <w:szCs w:val="32"/>
    </w:rPr>
  </w:style>
  <w:style w:type="character" w:customStyle="1" w:styleId="Heading1Char">
    <w:name w:val="Heading 1 Char"/>
    <w:basedOn w:val="DefaultParagraphFont"/>
    <w:link w:val="Heading1"/>
    <w:uiPriority w:val="9"/>
    <w:rsid w:val="00A63BF9"/>
    <w:rPr>
      <w:rFonts w:ascii="Times New Roman" w:eastAsia="Times New Roman" w:hAnsi="Times New Roman" w:cs="Arial"/>
      <w:b/>
      <w:bCs/>
      <w:caps/>
      <w:kern w:val="32"/>
      <w:sz w:val="28"/>
      <w:szCs w:val="32"/>
      <w:lang w:val="en-US"/>
    </w:rPr>
  </w:style>
  <w:style w:type="character" w:customStyle="1" w:styleId="Heading2Char">
    <w:name w:val="Heading 2 Char"/>
    <w:basedOn w:val="DefaultParagraphFont"/>
    <w:link w:val="Heading2"/>
    <w:uiPriority w:val="9"/>
    <w:rsid w:val="00A63BF9"/>
    <w:rPr>
      <w:rFonts w:ascii="Times New Roman" w:eastAsia="Times New Roman" w:hAnsi="Times New Roman" w:cs="Arial"/>
      <w:b/>
      <w:iCs/>
      <w:caps/>
      <w:kern w:val="32"/>
      <w:sz w:val="24"/>
      <w:szCs w:val="28"/>
      <w:lang w:val="en-US"/>
    </w:rPr>
  </w:style>
  <w:style w:type="character" w:customStyle="1" w:styleId="Heading3Char">
    <w:name w:val="Heading 3 Char"/>
    <w:basedOn w:val="DefaultParagraphFont"/>
    <w:link w:val="Heading3"/>
    <w:uiPriority w:val="9"/>
    <w:rsid w:val="00A63BF9"/>
    <w:rPr>
      <w:rFonts w:ascii="Times New Roman" w:eastAsia="Times New Roman" w:hAnsi="Times New Roman" w:cs="Arial"/>
      <w:b/>
      <w:bCs/>
      <w:iCs/>
      <w:kern w:val="32"/>
      <w:sz w:val="24"/>
      <w:szCs w:val="26"/>
      <w:lang w:val="en-US"/>
    </w:rPr>
  </w:style>
  <w:style w:type="character" w:customStyle="1" w:styleId="Heading4Char">
    <w:name w:val="Heading 4 Char"/>
    <w:basedOn w:val="DefaultParagraphFont"/>
    <w:link w:val="Heading4"/>
    <w:uiPriority w:val="9"/>
    <w:rsid w:val="00A63BF9"/>
    <w:rPr>
      <w:rFonts w:ascii="Times New Roman" w:eastAsia="Times New Roman" w:hAnsi="Times New Roman" w:cs="Arial"/>
      <w:b/>
      <w:i/>
      <w:iCs/>
      <w:kern w:val="32"/>
      <w:sz w:val="24"/>
      <w:szCs w:val="28"/>
      <w:lang w:val="en-US"/>
    </w:rPr>
  </w:style>
  <w:style w:type="character" w:customStyle="1" w:styleId="Heading5Char">
    <w:name w:val="Heading 5 Char"/>
    <w:basedOn w:val="DefaultParagraphFont"/>
    <w:link w:val="Heading5"/>
    <w:rsid w:val="00A63BF9"/>
    <w:rPr>
      <w:rFonts w:ascii="Times New Roman" w:eastAsia="Times New Roman" w:hAnsi="Times New Roman" w:cs="Arial"/>
      <w:bCs/>
      <w:i/>
      <w:kern w:val="32"/>
      <w:sz w:val="24"/>
      <w:szCs w:val="26"/>
      <w:u w:val="single"/>
      <w:lang w:val="en-US"/>
    </w:rPr>
  </w:style>
  <w:style w:type="character" w:customStyle="1" w:styleId="Heading6Char">
    <w:name w:val="Heading 6 Char"/>
    <w:basedOn w:val="DefaultParagraphFont"/>
    <w:link w:val="Heading6"/>
    <w:rsid w:val="00A63BF9"/>
    <w:rPr>
      <w:rFonts w:ascii="Times New Roman" w:eastAsia="Times New Roman" w:hAnsi="Times New Roman" w:cs="Arial"/>
      <w:i/>
      <w:kern w:val="32"/>
      <w:sz w:val="24"/>
      <w:u w:val="single"/>
      <w:lang w:val="en-US"/>
    </w:rPr>
  </w:style>
  <w:style w:type="paragraph" w:customStyle="1" w:styleId="ParaAttribute8">
    <w:name w:val="ParaAttribute8"/>
    <w:rsid w:val="00A63BF9"/>
    <w:pPr>
      <w:spacing w:after="0" w:line="240" w:lineRule="auto"/>
      <w:jc w:val="both"/>
    </w:pPr>
    <w:rPr>
      <w:rFonts w:ascii="Times New Roman" w:eastAsia="Batang" w:hAnsi="Times New Roman" w:cs="Times New Roman"/>
      <w:sz w:val="20"/>
      <w:szCs w:val="20"/>
      <w:lang w:eastAsia="en-MY"/>
    </w:rPr>
  </w:style>
  <w:style w:type="paragraph" w:customStyle="1" w:styleId="ParaAttribute28">
    <w:name w:val="ParaAttribute28"/>
    <w:rsid w:val="00A63BF9"/>
    <w:pPr>
      <w:spacing w:after="0" w:line="240" w:lineRule="auto"/>
      <w:ind w:firstLine="680"/>
      <w:jc w:val="both"/>
    </w:pPr>
    <w:rPr>
      <w:rFonts w:ascii="Times New Roman" w:eastAsia="Batang" w:hAnsi="Times New Roman" w:cs="Times New Roman"/>
      <w:sz w:val="20"/>
      <w:szCs w:val="20"/>
      <w:lang w:eastAsia="en-MY"/>
    </w:rPr>
  </w:style>
  <w:style w:type="character" w:customStyle="1" w:styleId="CharAttribute25">
    <w:name w:val="CharAttribute25"/>
    <w:rsid w:val="00A63BF9"/>
    <w:rPr>
      <w:rFonts w:ascii="Times New Roman" w:eastAsia="Times New Roman"/>
      <w:sz w:val="22"/>
    </w:rPr>
  </w:style>
  <w:style w:type="character" w:customStyle="1" w:styleId="CharAttribute53">
    <w:name w:val="CharAttribute53"/>
    <w:rsid w:val="00A63BF9"/>
    <w:rPr>
      <w:rFonts w:ascii="Times New Roman" w:eastAsia="Times New Roman"/>
      <w:b/>
      <w:sz w:val="22"/>
    </w:rPr>
  </w:style>
  <w:style w:type="paragraph" w:styleId="Caption">
    <w:name w:val="caption"/>
    <w:basedOn w:val="Normal"/>
    <w:next w:val="Normal"/>
    <w:uiPriority w:val="35"/>
    <w:unhideWhenUsed/>
    <w:qFormat/>
    <w:rsid w:val="00A63BF9"/>
    <w:pPr>
      <w:spacing w:before="120" w:after="120" w:line="240" w:lineRule="auto"/>
      <w:jc w:val="center"/>
    </w:pPr>
    <w:rPr>
      <w:rFonts w:ascii="Times New Roman" w:eastAsia="Calibri" w:hAnsi="Times New Roman" w:cs="Traditional Arabic"/>
      <w:b/>
      <w:bCs/>
      <w:sz w:val="24"/>
      <w:szCs w:val="18"/>
    </w:rPr>
  </w:style>
  <w:style w:type="paragraph" w:customStyle="1" w:styleId="ParaAttribute36">
    <w:name w:val="ParaAttribute36"/>
    <w:rsid w:val="00A63BF9"/>
    <w:pPr>
      <w:spacing w:before="120" w:after="120" w:line="240" w:lineRule="auto"/>
      <w:jc w:val="center"/>
    </w:pPr>
    <w:rPr>
      <w:rFonts w:ascii="Times New Roman" w:eastAsia="Batang" w:hAnsi="Times New Roman" w:cs="Times New Roman"/>
      <w:sz w:val="20"/>
      <w:szCs w:val="20"/>
      <w:lang w:eastAsia="en-MY"/>
    </w:rPr>
  </w:style>
  <w:style w:type="paragraph" w:customStyle="1" w:styleId="Default">
    <w:name w:val="Default"/>
    <w:rsid w:val="00F93DE5"/>
    <w:pPr>
      <w:autoSpaceDE w:val="0"/>
      <w:autoSpaceDN w:val="0"/>
      <w:adjustRightInd w:val="0"/>
      <w:spacing w:after="0" w:line="240" w:lineRule="auto"/>
    </w:pPr>
    <w:rPr>
      <w:rFonts w:ascii="Times New Roman" w:eastAsia="Times New Roman" w:hAnsi="Times New Roman" w:cs="Times New Roman"/>
      <w:color w:val="000000"/>
      <w:sz w:val="24"/>
      <w:szCs w:val="24"/>
      <w:lang w:eastAsia="en-MY"/>
    </w:rPr>
  </w:style>
  <w:style w:type="paragraph" w:styleId="Header">
    <w:name w:val="header"/>
    <w:basedOn w:val="Normal"/>
    <w:link w:val="HeaderChar"/>
    <w:uiPriority w:val="99"/>
    <w:unhideWhenUsed/>
    <w:rsid w:val="00F3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44C"/>
  </w:style>
  <w:style w:type="paragraph" w:styleId="Footer">
    <w:name w:val="footer"/>
    <w:basedOn w:val="Normal"/>
    <w:link w:val="FooterChar"/>
    <w:uiPriority w:val="99"/>
    <w:unhideWhenUsed/>
    <w:rsid w:val="00F3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44C"/>
  </w:style>
  <w:style w:type="paragraph" w:styleId="TOC4">
    <w:name w:val="toc 4"/>
    <w:basedOn w:val="TOC3"/>
    <w:next w:val="Normal"/>
    <w:autoRedefine/>
    <w:uiPriority w:val="39"/>
    <w:rsid w:val="00EF0510"/>
    <w:pPr>
      <w:tabs>
        <w:tab w:val="left" w:pos="1078"/>
        <w:tab w:val="right" w:leader="dot" w:pos="8222"/>
      </w:tabs>
      <w:spacing w:after="0" w:line="240" w:lineRule="auto"/>
      <w:ind w:left="0" w:firstLine="720"/>
      <w:jc w:val="both"/>
    </w:pPr>
    <w:rPr>
      <w:rFonts w:ascii="Times New Roman" w:eastAsia="Times New Roman" w:hAnsi="Times New Roman" w:cs="Times New Roman"/>
      <w:noProof/>
      <w:sz w:val="24"/>
      <w:szCs w:val="24"/>
      <w:lang w:val="en-GB" w:eastAsia="en-MY"/>
    </w:rPr>
  </w:style>
  <w:style w:type="paragraph" w:styleId="TOC3">
    <w:name w:val="toc 3"/>
    <w:basedOn w:val="Normal"/>
    <w:next w:val="Normal"/>
    <w:autoRedefine/>
    <w:uiPriority w:val="39"/>
    <w:semiHidden/>
    <w:unhideWhenUsed/>
    <w:rsid w:val="001547F0"/>
    <w:pPr>
      <w:spacing w:after="100"/>
      <w:ind w:left="440"/>
    </w:pPr>
  </w:style>
  <w:style w:type="character" w:customStyle="1" w:styleId="Style14ptBoldKernat16pt">
    <w:name w:val="Style 14 pt Bold Kern at 16 pt"/>
    <w:rsid w:val="001547F0"/>
    <w:rPr>
      <w:rFonts w:ascii="Times New Roman" w:hAnsi="Times New Roman"/>
      <w:bCs/>
      <w:color w:val="FF0000"/>
      <w:kern w:val="32"/>
      <w:sz w:val="24"/>
    </w:rPr>
  </w:style>
  <w:style w:type="character" w:styleId="Emphasis">
    <w:name w:val="Emphasis"/>
    <w:uiPriority w:val="20"/>
    <w:qFormat/>
    <w:rsid w:val="00B278B9"/>
    <w:rPr>
      <w:i/>
      <w:iCs/>
    </w:rPr>
  </w:style>
  <w:style w:type="character" w:customStyle="1" w:styleId="pagesnum">
    <w:name w:val="pagesnum"/>
    <w:basedOn w:val="DefaultParagraphFont"/>
    <w:rsid w:val="00755089"/>
  </w:style>
  <w:style w:type="paragraph" w:styleId="BalloonText">
    <w:name w:val="Balloon Text"/>
    <w:basedOn w:val="Normal"/>
    <w:link w:val="BalloonTextChar"/>
    <w:uiPriority w:val="99"/>
    <w:semiHidden/>
    <w:unhideWhenUsed/>
    <w:rsid w:val="006C4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59"/>
    <w:rPr>
      <w:rFonts w:ascii="Tahoma" w:hAnsi="Tahoma" w:cs="Tahoma"/>
      <w:sz w:val="16"/>
      <w:szCs w:val="16"/>
    </w:rPr>
  </w:style>
  <w:style w:type="character" w:customStyle="1" w:styleId="CharAttribute65">
    <w:name w:val="CharAttribute65"/>
    <w:rsid w:val="00FB4091"/>
    <w:rPr>
      <w:rFonts w:asci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5597">
      <w:bodyDiv w:val="1"/>
      <w:marLeft w:val="0"/>
      <w:marRight w:val="0"/>
      <w:marTop w:val="0"/>
      <w:marBottom w:val="0"/>
      <w:divBdr>
        <w:top w:val="none" w:sz="0" w:space="0" w:color="auto"/>
        <w:left w:val="none" w:sz="0" w:space="0" w:color="auto"/>
        <w:bottom w:val="none" w:sz="0" w:space="0" w:color="auto"/>
        <w:right w:val="none" w:sz="0" w:space="0" w:color="auto"/>
      </w:divBdr>
      <w:divsChild>
        <w:div w:id="1008675517">
          <w:marLeft w:val="0"/>
          <w:marRight w:val="0"/>
          <w:marTop w:val="0"/>
          <w:marBottom w:val="0"/>
          <w:divBdr>
            <w:top w:val="none" w:sz="0" w:space="0" w:color="auto"/>
            <w:left w:val="none" w:sz="0" w:space="0" w:color="auto"/>
            <w:bottom w:val="none" w:sz="0" w:space="0" w:color="auto"/>
            <w:right w:val="none" w:sz="0" w:space="0" w:color="auto"/>
          </w:divBdr>
        </w:div>
        <w:div w:id="655650678">
          <w:marLeft w:val="0"/>
          <w:marRight w:val="0"/>
          <w:marTop w:val="0"/>
          <w:marBottom w:val="0"/>
          <w:divBdr>
            <w:top w:val="none" w:sz="0" w:space="0" w:color="auto"/>
            <w:left w:val="none" w:sz="0" w:space="0" w:color="auto"/>
            <w:bottom w:val="none" w:sz="0" w:space="0" w:color="auto"/>
            <w:right w:val="none" w:sz="0" w:space="0" w:color="auto"/>
          </w:divBdr>
        </w:div>
        <w:div w:id="592208692">
          <w:marLeft w:val="0"/>
          <w:marRight w:val="0"/>
          <w:marTop w:val="0"/>
          <w:marBottom w:val="0"/>
          <w:divBdr>
            <w:top w:val="none" w:sz="0" w:space="0" w:color="auto"/>
            <w:left w:val="none" w:sz="0" w:space="0" w:color="auto"/>
            <w:bottom w:val="none" w:sz="0" w:space="0" w:color="auto"/>
            <w:right w:val="none" w:sz="0" w:space="0" w:color="auto"/>
          </w:divBdr>
        </w:div>
        <w:div w:id="2050758543">
          <w:marLeft w:val="0"/>
          <w:marRight w:val="0"/>
          <w:marTop w:val="0"/>
          <w:marBottom w:val="0"/>
          <w:divBdr>
            <w:top w:val="none" w:sz="0" w:space="0" w:color="auto"/>
            <w:left w:val="none" w:sz="0" w:space="0" w:color="auto"/>
            <w:bottom w:val="none" w:sz="0" w:space="0" w:color="auto"/>
            <w:right w:val="none" w:sz="0" w:space="0" w:color="auto"/>
          </w:divBdr>
        </w:div>
        <w:div w:id="1186944503">
          <w:marLeft w:val="0"/>
          <w:marRight w:val="0"/>
          <w:marTop w:val="0"/>
          <w:marBottom w:val="0"/>
          <w:divBdr>
            <w:top w:val="none" w:sz="0" w:space="0" w:color="auto"/>
            <w:left w:val="none" w:sz="0" w:space="0" w:color="auto"/>
            <w:bottom w:val="none" w:sz="0" w:space="0" w:color="auto"/>
            <w:right w:val="none" w:sz="0" w:space="0" w:color="auto"/>
          </w:divBdr>
        </w:div>
        <w:div w:id="24328965">
          <w:marLeft w:val="0"/>
          <w:marRight w:val="0"/>
          <w:marTop w:val="0"/>
          <w:marBottom w:val="0"/>
          <w:divBdr>
            <w:top w:val="none" w:sz="0" w:space="0" w:color="auto"/>
            <w:left w:val="none" w:sz="0" w:space="0" w:color="auto"/>
            <w:bottom w:val="none" w:sz="0" w:space="0" w:color="auto"/>
            <w:right w:val="none" w:sz="0" w:space="0" w:color="auto"/>
          </w:divBdr>
        </w:div>
        <w:div w:id="942804236">
          <w:marLeft w:val="0"/>
          <w:marRight w:val="0"/>
          <w:marTop w:val="0"/>
          <w:marBottom w:val="0"/>
          <w:divBdr>
            <w:top w:val="none" w:sz="0" w:space="0" w:color="auto"/>
            <w:left w:val="none" w:sz="0" w:space="0" w:color="auto"/>
            <w:bottom w:val="none" w:sz="0" w:space="0" w:color="auto"/>
            <w:right w:val="none" w:sz="0" w:space="0" w:color="auto"/>
          </w:divBdr>
        </w:div>
        <w:div w:id="420373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iyanty@uitm.edu.my" TargetMode="External"/><Relationship Id="rId13" Type="http://schemas.openxmlformats.org/officeDocument/2006/relationships/hyperlink" Target="http://www.scribd.com/doc/58277335/MCCG-2000-Finance-Comm" TargetMode="External"/><Relationship Id="rId18" Type="http://schemas.openxmlformats.org/officeDocument/2006/relationships/hyperlink" Target="http://doi.org/10.1016/j.jbankfin.2012.12.0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fsb.org/standard/IFSB-10%20Shari'ah%20Governance.pdf" TargetMode="External"/><Relationship Id="rId17" Type="http://schemas.openxmlformats.org/officeDocument/2006/relationships/hyperlink" Target="https://doi.org/10.1166/asl.2016.8183" TargetMode="External"/><Relationship Id="rId2" Type="http://schemas.openxmlformats.org/officeDocument/2006/relationships/numbering" Target="numbering.xml"/><Relationship Id="rId16" Type="http://schemas.openxmlformats.org/officeDocument/2006/relationships/hyperlink" Target="http://www.ingentaconnect.com/content/asp/asl;jsessionid=3djdt9m50h0i1.x-ic-live-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108/08288660810899368" TargetMode="External"/><Relationship Id="rId5" Type="http://schemas.openxmlformats.org/officeDocument/2006/relationships/webSettings" Target="webSettings.xml"/><Relationship Id="rId15" Type="http://schemas.openxmlformats.org/officeDocument/2006/relationships/hyperlink" Target="http://www.scribd.com/doc/93468395/MCCG-Revised-2007" TargetMode="External"/><Relationship Id="rId10" Type="http://schemas.openxmlformats.org/officeDocument/2006/relationships/hyperlink" Target="http://doi.org/10.1016/j.jbankfin.2008.05.00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i.org/10.1108/13581981211218315" TargetMode="External"/><Relationship Id="rId14" Type="http://schemas.openxmlformats.org/officeDocument/2006/relationships/hyperlink" Target="http://www.mia.org.my/new/downloads/circularsandresources/circulars/2012/21/MCCG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B0EC9DF-C544-49DC-8600-493E6198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13203</Words>
  <Characters>75259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Putera</dc:creator>
  <cp:lastModifiedBy>User</cp:lastModifiedBy>
  <cp:revision>2</cp:revision>
  <cp:lastPrinted>2017-12-27T06:37:00Z</cp:lastPrinted>
  <dcterms:created xsi:type="dcterms:W3CDTF">2019-05-11T06:43:00Z</dcterms:created>
  <dcterms:modified xsi:type="dcterms:W3CDTF">2019-05-11T06:43:00Z</dcterms:modified>
</cp:coreProperties>
</file>