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541A" w14:textId="7DA87812" w:rsidR="000D6111" w:rsidRDefault="00521BCA" w:rsidP="002119DE">
      <w:pPr>
        <w:pStyle w:val="Heading1"/>
      </w:pPr>
      <w:r>
        <w:t>SEEKING FOR A DECENT AND APPROPRIATE LIVING ARRANGEMENT</w:t>
      </w:r>
      <w:r w:rsidR="000D6111">
        <w:t>: THE EXPERIENCE OF MALAYSIA</w:t>
      </w:r>
      <w:r w:rsidR="00C81A25">
        <w:t>N</w:t>
      </w:r>
      <w:r w:rsidR="000D6111">
        <w:t xml:space="preserve"> YOUNG</w:t>
      </w:r>
      <w:r w:rsidR="00C81A25">
        <w:t xml:space="preserve"> </w:t>
      </w:r>
      <w:r w:rsidR="000D6111">
        <w:t>PEOPLE</w:t>
      </w:r>
    </w:p>
    <w:p w14:paraId="3044F77F" w14:textId="77777777" w:rsidR="000D6111" w:rsidRDefault="000D6111" w:rsidP="002119DE">
      <w:pPr>
        <w:pStyle w:val="Heading1"/>
      </w:pPr>
    </w:p>
    <w:p w14:paraId="71A4AAE2" w14:textId="77777777" w:rsidR="000D6111" w:rsidRPr="00A16DF8" w:rsidRDefault="000D6111" w:rsidP="00E0051F">
      <w:pPr>
        <w:spacing w:after="0"/>
        <w:jc w:val="center"/>
        <w:rPr>
          <w:rFonts w:cs="Times New Roman"/>
          <w:b/>
        </w:rPr>
      </w:pPr>
      <w:proofErr w:type="spellStart"/>
      <w:r w:rsidRPr="00A16DF8">
        <w:rPr>
          <w:rFonts w:cs="Times New Roman"/>
          <w:b/>
        </w:rPr>
        <w:t>Mahazril</w:t>
      </w:r>
      <w:proofErr w:type="spellEnd"/>
      <w:r w:rsidRPr="00A16DF8">
        <w:rPr>
          <w:rFonts w:cs="Times New Roman"/>
          <w:b/>
        </w:rPr>
        <w:t xml:space="preserve"> ‘</w:t>
      </w:r>
      <w:proofErr w:type="spellStart"/>
      <w:r w:rsidRPr="00A16DF8">
        <w:rPr>
          <w:rFonts w:cs="Times New Roman"/>
          <w:b/>
        </w:rPr>
        <w:t>Aini</w:t>
      </w:r>
      <w:proofErr w:type="spellEnd"/>
      <w:r w:rsidRPr="00A16DF8">
        <w:rPr>
          <w:rFonts w:cs="Times New Roman"/>
          <w:b/>
        </w:rPr>
        <w:t xml:space="preserve"> Yaacob </w:t>
      </w:r>
    </w:p>
    <w:p w14:paraId="553C8687" w14:textId="77777777" w:rsidR="000D6111" w:rsidRDefault="000D6111" w:rsidP="00837D3C">
      <w:pPr>
        <w:spacing w:after="0" w:line="240" w:lineRule="auto"/>
        <w:jc w:val="center"/>
        <w:rPr>
          <w:rFonts w:cs="Times New Roman"/>
        </w:rPr>
      </w:pPr>
      <w:r w:rsidRPr="009C2346">
        <w:rPr>
          <w:rFonts w:cs="Times New Roman"/>
        </w:rPr>
        <w:t>Faculty of Administrative Science and Policy Studies</w:t>
      </w:r>
    </w:p>
    <w:p w14:paraId="0E01CE93" w14:textId="77777777" w:rsidR="000D6111" w:rsidRDefault="000D6111" w:rsidP="00837D3C">
      <w:pPr>
        <w:spacing w:after="0" w:line="240" w:lineRule="auto"/>
        <w:jc w:val="center"/>
        <w:rPr>
          <w:rFonts w:cs="Times New Roman"/>
        </w:rPr>
      </w:pPr>
      <w:proofErr w:type="spellStart"/>
      <w:r w:rsidRPr="009C2346">
        <w:rPr>
          <w:rFonts w:cs="Times New Roman"/>
        </w:rPr>
        <w:t>Universiti</w:t>
      </w:r>
      <w:proofErr w:type="spellEnd"/>
      <w:r w:rsidRPr="009C2346">
        <w:rPr>
          <w:rFonts w:cs="Times New Roman"/>
        </w:rPr>
        <w:t xml:space="preserve"> </w:t>
      </w:r>
      <w:proofErr w:type="spellStart"/>
      <w:r w:rsidRPr="009C2346">
        <w:rPr>
          <w:rFonts w:cs="Times New Roman"/>
        </w:rPr>
        <w:t>Teknologi</w:t>
      </w:r>
      <w:proofErr w:type="spellEnd"/>
      <w:r w:rsidRPr="009C2346">
        <w:rPr>
          <w:rFonts w:cs="Times New Roman"/>
        </w:rPr>
        <w:t xml:space="preserve"> MARA</w:t>
      </w:r>
    </w:p>
    <w:p w14:paraId="765E9598" w14:textId="77777777" w:rsidR="000D6111" w:rsidRDefault="000D6111" w:rsidP="00837D3C">
      <w:pPr>
        <w:spacing w:after="0" w:line="240" w:lineRule="auto"/>
        <w:jc w:val="center"/>
        <w:rPr>
          <w:rFonts w:cs="Times New Roman"/>
        </w:rPr>
      </w:pPr>
      <w:r>
        <w:rPr>
          <w:rFonts w:cs="Times New Roman"/>
        </w:rPr>
        <w:t xml:space="preserve">Persiaran Seremban </w:t>
      </w:r>
      <w:proofErr w:type="spellStart"/>
      <w:r>
        <w:rPr>
          <w:rFonts w:cs="Times New Roman"/>
        </w:rPr>
        <w:t>Tiga</w:t>
      </w:r>
      <w:proofErr w:type="spellEnd"/>
      <w:r>
        <w:rPr>
          <w:rFonts w:cs="Times New Roman"/>
        </w:rPr>
        <w:t>/1, Seremban 3</w:t>
      </w:r>
    </w:p>
    <w:p w14:paraId="72671F51" w14:textId="1B64D3DC" w:rsidR="000D6111" w:rsidRDefault="000D6111" w:rsidP="00837D3C">
      <w:pPr>
        <w:spacing w:after="0" w:line="240" w:lineRule="auto"/>
        <w:jc w:val="center"/>
        <w:rPr>
          <w:rFonts w:cs="Times New Roman"/>
        </w:rPr>
      </w:pPr>
      <w:r>
        <w:rPr>
          <w:rFonts w:cs="Times New Roman"/>
        </w:rPr>
        <w:t>70300 Seremban, Negeri Sembilan</w:t>
      </w:r>
      <w:r w:rsidR="00C81A25">
        <w:rPr>
          <w:rFonts w:cs="Times New Roman"/>
        </w:rPr>
        <w:t>. Malaysia</w:t>
      </w:r>
    </w:p>
    <w:p w14:paraId="1105BB70" w14:textId="3A2164F4" w:rsidR="000D6111" w:rsidRPr="00C3672C" w:rsidRDefault="00691AB0" w:rsidP="00837D3C">
      <w:pPr>
        <w:spacing w:after="0" w:line="240" w:lineRule="auto"/>
        <w:jc w:val="center"/>
        <w:rPr>
          <w:rFonts w:cs="Times New Roman"/>
        </w:rPr>
      </w:pPr>
      <w:hyperlink r:id="rId6" w:history="1">
        <w:r w:rsidR="00B842AD" w:rsidRPr="00C3672C">
          <w:rPr>
            <w:rStyle w:val="Hyperlink"/>
            <w:rFonts w:cs="Times New Roman"/>
            <w:color w:val="auto"/>
            <w:u w:val="none"/>
          </w:rPr>
          <w:t>mahazril@uitm.edu.my</w:t>
        </w:r>
      </w:hyperlink>
    </w:p>
    <w:p w14:paraId="6E5C1987" w14:textId="23F479ED" w:rsidR="000D6111" w:rsidRDefault="000D6111" w:rsidP="00E0051F">
      <w:pPr>
        <w:spacing w:after="0"/>
        <w:jc w:val="center"/>
        <w:rPr>
          <w:rFonts w:cs="Times New Roman"/>
        </w:rPr>
      </w:pPr>
    </w:p>
    <w:p w14:paraId="55008075" w14:textId="0F4CE63E" w:rsidR="00BF68F4" w:rsidRPr="00BF68F4" w:rsidRDefault="00B8136F" w:rsidP="00D55FB5">
      <w:pPr>
        <w:pStyle w:val="Heading1"/>
        <w:jc w:val="both"/>
      </w:pPr>
      <w:r w:rsidRPr="00B8136F">
        <w:t>Abstract</w:t>
      </w:r>
    </w:p>
    <w:p w14:paraId="2E25F6FF" w14:textId="35C220EE" w:rsidR="00F6360E" w:rsidRDefault="00AB0C55" w:rsidP="00F6360E">
      <w:pPr>
        <w:spacing w:after="0" w:line="240" w:lineRule="auto"/>
        <w:ind w:firstLine="720"/>
        <w:contextualSpacing/>
      </w:pPr>
      <w:r w:rsidRPr="00AB0C55">
        <w:rPr>
          <w:rFonts w:eastAsia="Calibri" w:cs="Times New Roman"/>
          <w:iCs/>
          <w:szCs w:val="24"/>
        </w:rPr>
        <w:t>Housing is seen as more than just a shelter as it provides the occupants with a protection and sense of identity</w:t>
      </w:r>
      <w:r>
        <w:rPr>
          <w:rFonts w:eastAsia="Calibri" w:cs="Times New Roman"/>
          <w:iCs/>
          <w:szCs w:val="24"/>
        </w:rPr>
        <w:t xml:space="preserve"> and act as a basic human right of </w:t>
      </w:r>
      <w:r w:rsidR="00083862">
        <w:rPr>
          <w:rFonts w:eastAsia="Calibri" w:cs="Times New Roman"/>
          <w:iCs/>
          <w:szCs w:val="24"/>
        </w:rPr>
        <w:t>a citizen</w:t>
      </w:r>
      <w:r>
        <w:rPr>
          <w:rFonts w:eastAsia="Calibri" w:cs="Times New Roman"/>
          <w:iCs/>
          <w:szCs w:val="24"/>
        </w:rPr>
        <w:t xml:space="preserve">. </w:t>
      </w:r>
      <w:r w:rsidR="00F6360E" w:rsidRPr="00EA38F2">
        <w:t xml:space="preserve">Although housing is viewed as </w:t>
      </w:r>
      <w:r w:rsidR="00F6360E">
        <w:t>a basic human right</w:t>
      </w:r>
      <w:r w:rsidR="00F6360E" w:rsidRPr="00EA38F2">
        <w:t xml:space="preserve"> and is </w:t>
      </w:r>
      <w:r w:rsidR="00F6360E" w:rsidRPr="00EA38F2">
        <w:rPr>
          <w:noProof/>
        </w:rPr>
        <w:t>necessary</w:t>
      </w:r>
      <w:r w:rsidR="00F6360E" w:rsidRPr="00EA38F2">
        <w:t xml:space="preserve"> as a source of individual wealth, </w:t>
      </w:r>
      <w:r w:rsidR="00F6360E">
        <w:t xml:space="preserve">many of the people especially the young are struggling to meet this need. Many </w:t>
      </w:r>
      <w:r w:rsidR="00083862">
        <w:t xml:space="preserve">housing </w:t>
      </w:r>
      <w:r w:rsidR="00F6360E">
        <w:t>studies conducted looking at homeownership, yet</w:t>
      </w:r>
      <w:r w:rsidR="00083862">
        <w:t>,</w:t>
      </w:r>
      <w:r w:rsidR="00F6360E">
        <w:t xml:space="preserve"> little efforts were made to know</w:t>
      </w:r>
      <w:r w:rsidR="00083862">
        <w:t xml:space="preserve"> the</w:t>
      </w:r>
      <w:r w:rsidR="00F6360E">
        <w:t xml:space="preserve"> challenges </w:t>
      </w:r>
      <w:r w:rsidR="00B23FB1">
        <w:t xml:space="preserve">faced by </w:t>
      </w:r>
      <w:r w:rsidR="00F6360E">
        <w:t>the young people</w:t>
      </w:r>
      <w:r w:rsidR="00B23FB1">
        <w:t xml:space="preserve"> in their pursuit of adequate housing.</w:t>
      </w:r>
      <w:r w:rsidR="00F6360E">
        <w:t xml:space="preserve"> Thus, the research </w:t>
      </w:r>
      <w:r w:rsidR="00886FF0">
        <w:t xml:space="preserve">using </w:t>
      </w:r>
      <w:r w:rsidR="00691AB0">
        <w:t>quantitative and qualitative research approaches (</w:t>
      </w:r>
      <w:r w:rsidR="008043A2">
        <w:t>mixed method</w:t>
      </w:r>
      <w:r w:rsidR="00691AB0">
        <w:t>)</w:t>
      </w:r>
      <w:r w:rsidR="00886FF0">
        <w:t xml:space="preserve"> </w:t>
      </w:r>
      <w:r w:rsidR="00F6360E">
        <w:t xml:space="preserve">was carried out </w:t>
      </w:r>
      <w:r w:rsidR="00B23FB1">
        <w:t xml:space="preserve">among young people in </w:t>
      </w:r>
      <w:r w:rsidR="002E21B6">
        <w:t>Greater</w:t>
      </w:r>
      <w:r w:rsidR="00B23FB1">
        <w:t xml:space="preserve"> Kuala Lumpur, Malaysia </w:t>
      </w:r>
      <w:r w:rsidR="00F6360E">
        <w:t xml:space="preserve">to understand the housing challenges faced by </w:t>
      </w:r>
      <w:r w:rsidR="00B23FB1">
        <w:t xml:space="preserve">them. </w:t>
      </w:r>
      <w:r w:rsidR="009A4EB8">
        <w:t xml:space="preserve">Results of the study revealed that young people faced with the housing challenges related to structural and economic perspectives. </w:t>
      </w:r>
      <w:r w:rsidR="00BF68F4">
        <w:t xml:space="preserve">It </w:t>
      </w:r>
      <w:r w:rsidR="00083862">
        <w:t>was</w:t>
      </w:r>
      <w:r w:rsidR="00BF68F4">
        <w:t xml:space="preserve"> concluded that while the study </w:t>
      </w:r>
      <w:r w:rsidR="009C3AF6">
        <w:t>focuses</w:t>
      </w:r>
      <w:r w:rsidR="00BF68F4">
        <w:t xml:space="preserve"> among young people in Malaysia, the implications are international in scope as housing is one of the global </w:t>
      </w:r>
      <w:r w:rsidR="009C3AF6">
        <w:t>issues</w:t>
      </w:r>
      <w:r w:rsidR="00BF68F4">
        <w:t xml:space="preserve">. </w:t>
      </w:r>
      <w:r w:rsidR="009C3AF6">
        <w:t xml:space="preserve">The findings of the study serve as guidelines for the policy makers and housing providers to come out with healthy housing policy and program </w:t>
      </w:r>
      <w:r w:rsidR="00F55F85">
        <w:t>that</w:t>
      </w:r>
      <w:r w:rsidR="009C3AF6">
        <w:t xml:space="preserve"> is more inclusive and sustainable. </w:t>
      </w:r>
    </w:p>
    <w:p w14:paraId="4D80564C" w14:textId="77777777" w:rsidR="00B8136F" w:rsidRDefault="00B8136F" w:rsidP="00E0051F">
      <w:pPr>
        <w:rPr>
          <w:rFonts w:cs="Times New Roman"/>
          <w:b/>
          <w:szCs w:val="24"/>
        </w:rPr>
      </w:pPr>
    </w:p>
    <w:p w14:paraId="3B08EF8C" w14:textId="7B6F0E13" w:rsidR="00661103" w:rsidRDefault="00837D3C" w:rsidP="00E0051F">
      <w:pPr>
        <w:sectPr w:rsidR="00661103">
          <w:pgSz w:w="11906" w:h="16838"/>
          <w:pgMar w:top="1440" w:right="1440" w:bottom="1440" w:left="1440" w:header="708" w:footer="708" w:gutter="0"/>
          <w:cols w:space="708"/>
          <w:docGrid w:linePitch="360"/>
        </w:sectPr>
      </w:pPr>
      <w:r>
        <w:t xml:space="preserve">Keywords: </w:t>
      </w:r>
      <w:r w:rsidR="00004E8E" w:rsidRPr="00004E8E">
        <w:rPr>
          <w:b/>
          <w:i/>
        </w:rPr>
        <w:t>adequate housing;</w:t>
      </w:r>
      <w:r w:rsidR="00004E8E">
        <w:t xml:space="preserve"> </w:t>
      </w:r>
      <w:r w:rsidR="00376900">
        <w:rPr>
          <w:b/>
          <w:i/>
        </w:rPr>
        <w:t>housing challenges;</w:t>
      </w:r>
      <w:r w:rsidRPr="00837D3C">
        <w:rPr>
          <w:b/>
          <w:i/>
        </w:rPr>
        <w:t xml:space="preserve"> young people; living </w:t>
      </w:r>
      <w:r w:rsidRPr="00CC6D69">
        <w:rPr>
          <w:b/>
          <w:i/>
        </w:rPr>
        <w:t xml:space="preserve">arrangement; </w:t>
      </w:r>
      <w:r w:rsidR="00CC6D69" w:rsidRPr="00CC6D69">
        <w:rPr>
          <w:b/>
          <w:i/>
        </w:rPr>
        <w:t>Malaysia;</w:t>
      </w:r>
      <w:r w:rsidR="00CC6D69">
        <w:t xml:space="preserve"> </w:t>
      </w:r>
      <w:bookmarkStart w:id="0" w:name="_GoBack"/>
      <w:bookmarkEnd w:id="0"/>
    </w:p>
    <w:p w14:paraId="1A84C53B" w14:textId="6D3A0971" w:rsidR="00817123" w:rsidRPr="00817123" w:rsidRDefault="00B8136F" w:rsidP="00175DCC">
      <w:pPr>
        <w:pStyle w:val="Heading2"/>
        <w:spacing w:before="0"/>
      </w:pPr>
      <w:r w:rsidRPr="00B8136F">
        <w:lastRenderedPageBreak/>
        <w:t>Introduction</w:t>
      </w:r>
    </w:p>
    <w:p w14:paraId="6BBA3196" w14:textId="47D187D7" w:rsidR="00F72BF9" w:rsidRDefault="001559E4" w:rsidP="00175DCC">
      <w:pPr>
        <w:spacing w:after="0"/>
      </w:pPr>
      <w:r>
        <w:t>Access to h</w:t>
      </w:r>
      <w:r w:rsidR="00F54BFD">
        <w:t>ousing is a vital component of human rights a</w:t>
      </w:r>
      <w:r>
        <w:t xml:space="preserve">nd everybody must be given the opportunities to exercise the rights to housing. </w:t>
      </w:r>
      <w:bookmarkStart w:id="1" w:name="_Hlk8039195"/>
      <w:r>
        <w:t xml:space="preserve">Housing is seen as more than just a shelter as it provides the occupants with a protection and sense of identity. </w:t>
      </w:r>
      <w:bookmarkEnd w:id="1"/>
      <w:r>
        <w:t xml:space="preserve">It is a place where people interact, adapt and adjust to the environment where they live (Hamzah &amp; Adnan, 2016). </w:t>
      </w:r>
      <w:r w:rsidR="006E0BCF">
        <w:t>Providing a decent and affordable housing, hence, important to the health and well-being of the people and also fundamental to the growth economies of the country (</w:t>
      </w:r>
      <w:proofErr w:type="spellStart"/>
      <w:r w:rsidR="00F800BE">
        <w:t>Woetzel</w:t>
      </w:r>
      <w:proofErr w:type="spellEnd"/>
      <w:r w:rsidR="00F800BE">
        <w:t xml:space="preserve">, Mischke, Ram, </w:t>
      </w:r>
      <w:proofErr w:type="spellStart"/>
      <w:r w:rsidR="00F800BE">
        <w:t>Garemo</w:t>
      </w:r>
      <w:proofErr w:type="spellEnd"/>
      <w:r w:rsidR="00F800BE">
        <w:t xml:space="preserve"> &amp; </w:t>
      </w:r>
      <w:proofErr w:type="spellStart"/>
      <w:r w:rsidR="00F800BE">
        <w:t>Sankhe</w:t>
      </w:r>
      <w:proofErr w:type="spellEnd"/>
      <w:r w:rsidR="00F800BE">
        <w:t xml:space="preserve">, 2014). </w:t>
      </w:r>
    </w:p>
    <w:p w14:paraId="09F27956" w14:textId="4039C055" w:rsidR="00017078" w:rsidRDefault="00F72BF9" w:rsidP="00175DCC">
      <w:pPr>
        <w:spacing w:after="0"/>
        <w:ind w:firstLine="720"/>
      </w:pPr>
      <w:r>
        <w:t>H</w:t>
      </w:r>
      <w:r w:rsidR="00137239">
        <w:t>ousing</w:t>
      </w:r>
      <w:r>
        <w:t>, then</w:t>
      </w:r>
      <w:r w:rsidR="00137239">
        <w:t xml:space="preserve"> has become a national priority agenda because it is not only improving the social well-being of the people, but also affecting the national economy. Due to that, there is an increasing housing demands in </w:t>
      </w:r>
      <w:r w:rsidR="002D568D">
        <w:t>developing</w:t>
      </w:r>
      <w:r w:rsidR="00137239">
        <w:t xml:space="preserve"> countries including Malaysia </w:t>
      </w:r>
      <w:r w:rsidR="002D568D">
        <w:t xml:space="preserve">in tandem with the growth of the population in the country. </w:t>
      </w:r>
      <w:r w:rsidR="009A4CD6">
        <w:t>I</w:t>
      </w:r>
      <w:r w:rsidR="002D568D">
        <w:t xml:space="preserve">t is projected by year 2020, Malaysia </w:t>
      </w:r>
      <w:r w:rsidR="000F06A2">
        <w:t xml:space="preserve">will </w:t>
      </w:r>
      <w:r w:rsidR="009A4CD6">
        <w:t>be</w:t>
      </w:r>
      <w:r w:rsidR="000F06A2">
        <w:t xml:space="preserve"> </w:t>
      </w:r>
      <w:r w:rsidR="009A4CD6">
        <w:t>a</w:t>
      </w:r>
      <w:r w:rsidR="002D568D">
        <w:t xml:space="preserve"> ho</w:t>
      </w:r>
      <w:r w:rsidR="001024E7">
        <w:t>me</w:t>
      </w:r>
      <w:r w:rsidR="002D568D">
        <w:t xml:space="preserve"> to a 33.8 million people, </w:t>
      </w:r>
      <w:r w:rsidR="00CC3E07">
        <w:t>marking</w:t>
      </w:r>
      <w:r w:rsidR="002D568D">
        <w:t xml:space="preserve"> the increasing demands for housing</w:t>
      </w:r>
      <w:r w:rsidR="006F5235">
        <w:t xml:space="preserve"> (Malaysia Department of Statistics, 2019). </w:t>
      </w:r>
      <w:r w:rsidR="00EE1E4E">
        <w:t xml:space="preserve">By year 2020 also, </w:t>
      </w:r>
      <w:r w:rsidR="00B57670">
        <w:t>it is estimated that the</w:t>
      </w:r>
      <w:r w:rsidR="00EE1E4E">
        <w:t xml:space="preserve"> urbanisation rate</w:t>
      </w:r>
      <w:r w:rsidR="00B57670">
        <w:t xml:space="preserve"> will </w:t>
      </w:r>
      <w:r w:rsidR="0070719C">
        <w:t>be increased</w:t>
      </w:r>
      <w:r w:rsidR="00B57670">
        <w:t xml:space="preserve"> to 75</w:t>
      </w:r>
      <w:r w:rsidR="0070719C">
        <w:t xml:space="preserve"> percent</w:t>
      </w:r>
      <w:r w:rsidR="00B57670">
        <w:t xml:space="preserve"> making urban area is most populous (Ministry of Urban Well-being, Housing and Local Government, 2016). </w:t>
      </w:r>
    </w:p>
    <w:p w14:paraId="2179C6E0" w14:textId="3E8D23DB" w:rsidR="00A35799" w:rsidRDefault="00AA56AB" w:rsidP="00175DCC">
      <w:pPr>
        <w:spacing w:after="0"/>
        <w:ind w:firstLine="720"/>
      </w:pPr>
      <w:r>
        <w:t>D</w:t>
      </w:r>
      <w:r w:rsidR="00140F3D">
        <w:t xml:space="preserve">espite increasing demand for housing, </w:t>
      </w:r>
      <w:r w:rsidR="00680AF4">
        <w:t xml:space="preserve">many of the people especially the </w:t>
      </w:r>
      <w:proofErr w:type="spellStart"/>
      <w:r w:rsidR="00680AF4">
        <w:t>youngs</w:t>
      </w:r>
      <w:proofErr w:type="spellEnd"/>
      <w:r w:rsidR="00680AF4">
        <w:t xml:space="preserve">, could not afford housing. Housing has become unaffordable mainly in urban areas where most of the people live and work. </w:t>
      </w:r>
      <w:r w:rsidR="00A35799" w:rsidRPr="00A35799">
        <w:rPr>
          <w:lang w:val="en-GB"/>
        </w:rPr>
        <w:t>The access to housing is based on the ability to pay, which made the housing provision to be highly commodified rather than de-commodified (Ronald &amp; Doling, 2010).</w:t>
      </w:r>
      <w:r w:rsidR="00017078" w:rsidRPr="00017078">
        <w:rPr>
          <w:rFonts w:eastAsia="Calibri"/>
        </w:rPr>
        <w:t xml:space="preserve"> </w:t>
      </w:r>
      <w:r w:rsidR="00017078">
        <w:rPr>
          <w:rFonts w:eastAsia="Calibri"/>
        </w:rPr>
        <w:t>As such, having a decent house, however, is a problem among young people in most countries including Europe and East Asia and it has indeed become a global issue.</w:t>
      </w:r>
    </w:p>
    <w:p w14:paraId="62C908AC" w14:textId="57CF4595" w:rsidR="00D23CED" w:rsidRDefault="002A6A40" w:rsidP="00175DCC">
      <w:pPr>
        <w:spacing w:after="0"/>
        <w:ind w:firstLine="720"/>
      </w:pPr>
      <w:r>
        <w:t xml:space="preserve">In Malaysia, </w:t>
      </w:r>
      <w:r w:rsidRPr="00656B30">
        <w:t>the housing price</w:t>
      </w:r>
      <w:r>
        <w:t>s</w:t>
      </w:r>
      <w:r w:rsidRPr="00656B30">
        <w:t xml:space="preserve"> offered in</w:t>
      </w:r>
      <w:r>
        <w:t xml:space="preserve"> the</w:t>
      </w:r>
      <w:r w:rsidRPr="00656B30">
        <w:t xml:space="preserve"> real estate market </w:t>
      </w:r>
      <w:r>
        <w:t>have been</w:t>
      </w:r>
      <w:r w:rsidRPr="00656B30">
        <w:t xml:space="preserve"> rated as unaffordable</w:t>
      </w:r>
      <w:r>
        <w:t>,</w:t>
      </w:r>
      <w:r w:rsidRPr="00656B30">
        <w:t xml:space="preserve"> especially in the main towns. For instance, Kuala Lumpur and </w:t>
      </w:r>
      <w:proofErr w:type="spellStart"/>
      <w:r w:rsidRPr="00656B30">
        <w:t>Pulau</w:t>
      </w:r>
      <w:proofErr w:type="spellEnd"/>
      <w:r w:rsidRPr="00656B30">
        <w:t xml:space="preserve"> Pinang were listed as ‘severely unaffordable’ housing markets followed by Johor (severely unaffordable)</w:t>
      </w:r>
      <w:r>
        <w:t>,</w:t>
      </w:r>
      <w:r w:rsidRPr="00656B30">
        <w:t xml:space="preserve"> and Selangor (moderately unaffordable) (</w:t>
      </w:r>
      <w:proofErr w:type="spellStart"/>
      <w:r w:rsidRPr="00656B30">
        <w:t>K</w:t>
      </w:r>
      <w:r w:rsidR="0089241B">
        <w:t>hazanah</w:t>
      </w:r>
      <w:proofErr w:type="spellEnd"/>
      <w:r w:rsidR="0089241B">
        <w:t xml:space="preserve"> </w:t>
      </w:r>
      <w:r w:rsidRPr="00656B30">
        <w:t>R</w:t>
      </w:r>
      <w:r w:rsidR="0089241B">
        <w:t xml:space="preserve">esearch </w:t>
      </w:r>
      <w:r w:rsidRPr="00656B30">
        <w:t>I</w:t>
      </w:r>
      <w:r w:rsidR="0089241B">
        <w:t>nstitute</w:t>
      </w:r>
      <w:r w:rsidRPr="00656B30">
        <w:t>, 2015).</w:t>
      </w:r>
      <w:r w:rsidR="00052FB8">
        <w:t xml:space="preserve"> </w:t>
      </w:r>
    </w:p>
    <w:p w14:paraId="178C7934" w14:textId="0512505D" w:rsidR="000D42DB" w:rsidRDefault="00D23CED" w:rsidP="00175DCC">
      <w:pPr>
        <w:spacing w:after="0"/>
        <w:ind w:firstLine="720"/>
      </w:pPr>
      <w:r w:rsidRPr="005607BE">
        <w:rPr>
          <w:rFonts w:eastAsia="Calibri" w:cs="Times New Roman"/>
          <w:szCs w:val="24"/>
        </w:rPr>
        <w:t xml:space="preserve">The issue </w:t>
      </w:r>
      <w:r w:rsidRPr="005607BE">
        <w:rPr>
          <w:rFonts w:eastAsia="Calibri" w:cs="Times New Roman"/>
          <w:noProof/>
          <w:szCs w:val="24"/>
        </w:rPr>
        <w:t>pertaining to</w:t>
      </w:r>
      <w:r w:rsidRPr="005607BE">
        <w:rPr>
          <w:rFonts w:eastAsia="Calibri" w:cs="Times New Roman"/>
          <w:szCs w:val="24"/>
        </w:rPr>
        <w:t xml:space="preserve"> difficulties in gaining access to decent and appropriate housing have </w:t>
      </w:r>
      <w:r w:rsidRPr="005607BE">
        <w:rPr>
          <w:rFonts w:eastAsia="Calibri" w:cs="Times New Roman"/>
          <w:noProof/>
          <w:szCs w:val="24"/>
        </w:rPr>
        <w:t>been continuously debated</w:t>
      </w:r>
      <w:r w:rsidRPr="005607BE">
        <w:rPr>
          <w:rFonts w:eastAsia="Calibri" w:cs="Times New Roman"/>
          <w:szCs w:val="24"/>
        </w:rPr>
        <w:t xml:space="preserve"> in many countries </w:t>
      </w:r>
      <w:r w:rsidRPr="005607BE">
        <w:rPr>
          <w:rFonts w:eastAsia="Calibri" w:cs="Times New Roman"/>
          <w:szCs w:val="24"/>
        </w:rPr>
        <w:fldChar w:fldCharType="begin" w:fldLock="1"/>
      </w:r>
      <w:r>
        <w:rPr>
          <w:rFonts w:eastAsia="Calibri" w:cs="Times New Roman"/>
          <w:szCs w:val="24"/>
        </w:rPr>
        <w:instrText>ADDIN CSL_CITATION { "citationItems" : [ { "id" : "ITEM-1", "itemData" : { "ISBN" : "9789675705052", "author" : [ { "dropping-particle" : "", "family" : "Khan", "given" : "Puteri Ameera Mentaza", "non-dropping-particle" : "", "parse-names" : false, "suffix" : "" }, { "dropping-particle" : "", "family" : "Mahamud", "given" : "Rosadah", "non-dropping-particle" : "", "parse-names" : false, "suffix" : "" }, { "dropping-particle" : "", "family" : "Kamaruddin", "given" : "P M Norhaya", "non-dropping-particle" : "", "parse-names" : false, "suffix" : "" } ], "container-title" : "An Overview of Housing Affordability for First Time Home Buyer in Malaysia", "id" : "ITEM-1", "issue" : "March", "issued" : { "date-parts" : [ [ "2012" ] ] }, "page" : "388-400", "title" : "3rd INTERNATIONAL CONFERENCE ON BUSINESS AND ECONOMIC 3rd INTERNATIONAL CONFERENCE ON BUSINESS AND ECONOMIC", "type" : "paper-conference" }, "uris" : [ "http://www.mendeley.com/documents/?uuid=78630090-f271-4199-92b1-2dee364951d4" ] }, { "id" : "ITEM-2", "itemData" : { "DOI" : "10.1080/14036096.2012.728151", "ISSN" : "1403-6096", "author" : [ { "dropping-particle" : "", "family" : "Bessant", "given" : "Judith C.", "non-dropping-particle" : "", "parse-names" : false, "suffix" : "" }, { "dropping-particle" : "", "family" : "Johnson", "given" : "Guy", "non-dropping-particle" : "", "parse-names" : false, "suffix" : "" } ], "container-title" : "Housing, Theory and Society", "id" : "ITEM-2", "issue" : "2", "issued" : { "date-parts" : [ [ "2013", "6" ] ] }, "page" : "177-192", "title" : "\u201cDream on\u201d: Declining Homeownership Among Young People in Australia?", "type" : "article-journal", "volume" : "30" }, "uris" : [ "http://www.mendeley.com/documents/?uuid=eb8ffd2d-b85f-4c2f-89b7-e7608d4a1d36" ] }, { "id" : "ITEM-3", "itemData" : { "DOI" : "10.1016/j.jmacro.2016.01.001", "ISSN" : "01640704", "abstract" : "This paper constructs a model of search and bargaining across two different markets: the labor market and the housing market. Interestingly, the model highlights that housing prices and frictions in the housing market have a profound impact on labor market activity through the desire of workers to eventually purchase a home, the \u201cAmerican Dream.\u201d In particular, higher housing prices adversely affect workers\u2019 incentives in the labor market as employment can eventually lead to access to housing through the ability to purchase a home. Similarly, labor market frictions can impact housing market activity. Notably, tighter housing markets are associated with higher unemployment rates and less job creation. Consequently, our work suggests that policymakers should be very careful in implementing policies targeted towards housing \u2013 housing markets are likely to generate significant external effects to other sectors of the economy, especially the labor market.", "author" : [ { "dropping-particle" : "", "family" : "Reed", "given" : "Robert R.", "non-dropping-particle" : "", "parse-names" : false, "suffix" : "" }, { "dropping-particle" : "", "family" : "Ume", "given" : "Ejindu S.", "non-dropping-particle" : "", "parse-names" : false, "suffix" : "" } ], "container-title" : "Journal of Macroeconomics", "id" : "ITEM-3", "issued" : { "date-parts" : [ [ "2016", "6" ] ] }, "note" : "housing price , employment, factors housing opportunities", "page" : "72-86", "title" : "Housing and unemployment: The search for the \u201cAmerican Dream\u201d", "type" : "article-journal", "volume" : "48" }, "uris" : [ "http://www.mendeley.com/documents/?uuid=aabc10e3-70c3-42a9-bb4d-9200d9bd2ac3" ] }, { "id" : "ITEM-4", "itemData" : { "author" : [ { "dropping-particle" : "", "family" : "Belsky", "given" : "Eric S", "non-dropping-particle" : "", "parse-names" : false, "suffix" : "" } ], "container-title" : "Joint Center for Housing Studies Harvard University", "id" : "ITEM-4", "issued" : { "date-parts" : [ [ "2013" ] ] }, "note" : "age, income and household type", "title" : "The Dream Lives On : The Future of Homeownership in America", "type" : "article-journal" }, "uris" : [ "http://www.mendeley.com/documents/?uuid=b413e83a-9e3e-4b9c-b710-7374f9aa863a" ] }, { "id" : "ITEM-5", "itemData" : { "DOI" : "10.1080/14445921.2015.1026195", "ISSN" : "14445921", "author" : [ { "dropping-particle" : "", "family" : "Li", "given" : "R.Y.M", "non-dropping-particle" : "", "parse-names" : false, "suffix" : "" } ], "container-title" : "Pacific Rim Property Research Journal", "id" : "ITEM-5", "issue" : "1", "issued" : { "date-parts" : [ [ "2015" ] ] }, "page" : "15-36", "title" : "Generation X and Ys demand for homeownership in Hong Kong", "type" : "article-journal", "volume" : "21" }, "uris" : [ "http://www.mendeley.com/documents/?uuid=c2e5f64e-8cd0-43d7-a257-0e3608bc1f35" ] }, { "id" : "ITEM-6", "itemData" : { "DOI" : "10.1080/14616718.2015.1130606", "ISSN" : "1461-6718", "author" : [ { "dropping-particle" : "", "family" : "Filandri", "given" : "Marianna", "non-dropping-particle" : "", "parse-names" : false, "suffix" : "" }, { "dropping-particle" : "", "family" : "Bertolini", "given" : "Sonia", "non-dropping-particle" : "", "parse-names" : false, "suffix" : "" } ], "container-title" : "International Journal of Housing Policy", "id" : "ITEM-6", "issue" : "March", "issued" : { "date-parts" : [ [ "2016" ] ] }, "page" : "1-21", "title" : "Young people and home ownership in Europe", "type" : "article-journal", "volume" : "6718" }, "uris" : [ "http://www.mendeley.com/documents/?uuid=7becd5b3-4371-44cc-9a23-a26f722fd460" ] }, { "id" : "ITEM-7", "itemData" : { "DOI" : "10.1080/14616718.2015.1130605", "ISSN" : "1461-6718", "author" : [ { "dropping-particle" : "", "family" : "B.Castro Campos, C.Y.Yiu, J.Shen", "given" : "K.H.Liao&amp; M.Maing", "non-dropping-particle" : "", "parse-names" : false, "suffix" : "" } ], "container-title" : "International Journal of Housing Policy", "id" : "ITEM-7", "issue" : "March", "issued" : { "date-parts" : [ [ "2016" ] ] }, "page" : "1-20", "title" : "The anticipated housing pathways to homeownership of young people in Hong Kong", "type" : "article-journal", "volume" : "6718" }, "uris" : [ "http://www.mendeley.com/documents/?uuid=e8c5badb-a4c1-4244-a478-97586f7bebdd" ] } ], "mendeley" : { "formattedCitation" : "(B.Castro Campos, C.Y.Yiu, J.Shen, 2016; Belsky, 2013; Bessant &amp; Johnson, 2013; Filandri &amp; Bertolini, 2016; Khan, Mahamud, &amp; Kamaruddin, 2012; Li, 2015; Reed &amp; Ume, 2016)", "manualFormatting" : "(Campos, Yiu, Shen, Liao &amp; Maing, 2016; Filandri &amp; Bertolini, 2016; Reed &amp; Ume, 2016; Shi, Chen &amp; Wang, 2015; Li, 2015; Belsky, 2013; Bessant &amp; Johnson, 2013; Khan, Mahamud &amp; Kamaruddin, 2012)", "plainTextFormattedCitation" : "(B.Castro Campos, C.Y.Yiu, J.Shen, 2016; Belsky, 2013; Bessant &amp; Johnson, 2013; Filandri &amp; Bertolini, 2016; Khan, Mahamud, &amp; Kamaruddin, 2012; Li, 2015; Reed &amp; Ume, 2016)", "previouslyFormattedCitation" : "(B.Castro Campos, C.Y.Yiu, J.Shen, 2016; Belsky, 2013; Bessant &amp; Johnson, 2013; Filandri &amp; Bertolini, 2016; Khan, Mahamud, &amp; Kamaruddin, 2012; Li, 2015; Reed &amp; Ume, 2016)" }, "properties" : { "noteIndex" : 0 }, "schema" : "https://github.com/citation-style-language/schema/raw/master/csl-citation.json" }</w:instrText>
      </w:r>
      <w:r w:rsidRPr="005607BE">
        <w:rPr>
          <w:rFonts w:eastAsia="Calibri" w:cs="Times New Roman"/>
          <w:szCs w:val="24"/>
        </w:rPr>
        <w:fldChar w:fldCharType="separate"/>
      </w:r>
      <w:r w:rsidRPr="005607BE">
        <w:rPr>
          <w:rFonts w:eastAsia="Calibri" w:cs="Times New Roman"/>
          <w:noProof/>
          <w:szCs w:val="24"/>
        </w:rPr>
        <w:t>(Campos, Yiu, Shen, Liao &amp; Maing, 2016;</w:t>
      </w:r>
      <w:r>
        <w:rPr>
          <w:rFonts w:eastAsia="Calibri" w:cs="Times New Roman"/>
          <w:noProof/>
          <w:szCs w:val="24"/>
        </w:rPr>
        <w:t xml:space="preserve"> Filandri &amp; Bertolini, 2016; Reed &amp; Ume, 2016;</w:t>
      </w:r>
      <w:r w:rsidRPr="005607BE">
        <w:rPr>
          <w:rFonts w:eastAsia="Calibri" w:cs="Times New Roman"/>
          <w:noProof/>
          <w:szCs w:val="24"/>
        </w:rPr>
        <w:t xml:space="preserve"> </w:t>
      </w:r>
      <w:r w:rsidRPr="005607BE">
        <w:rPr>
          <w:rFonts w:eastAsia="Calibri" w:cs="Times New Roman"/>
          <w:noProof/>
        </w:rPr>
        <w:fldChar w:fldCharType="begin" w:fldLock="1"/>
      </w:r>
      <w:r w:rsidRPr="005607BE">
        <w:rPr>
          <w:rFonts w:eastAsia="Calibri" w:cs="Times New Roman"/>
          <w:noProof/>
        </w:rPr>
        <w:instrText>ADDIN CSL_CITATION { "citationItems" : [ { "id" : "ITEM-1", "itemData" : { "DOI" : "10.1016/j.habitatint.2015.11.020", "ISSN" : "01973975", "abstract" : "This paper shows that the balance of several overriding policy objectives has determined the direction of the affordable housing policy in urban China. The priorities of the Chinese affordable housing policy agenda include promoting economic growth and urbanization through the efficient allocation of housing-related resources and ensuring political consolidation and social stability by maintaining housing affordability for mainstream society. The achievements and problems of affordable housing programs in post-reform China are introduced. We also discuss what lessons we can draw from the Chinese affordable housing policy developments.", "author" : [ { "dropping-particle" : "", "family" : "Shi", "given" : "Wei", "non-dropping-particle" : "", "parse-names" : false, "suffix" : "" }, { "dropping-particle" : "", "family" : "Chen", "given" : "Jie", "non-dropping-particle" : "", "parse-names" : false, "suffix" : "" }, { "dropping-particle" : "", "family" : "Wang", "given" : "Hongwei", "non-dropping-particle" : "", "parse-names" : false, "suffix" : "" } ], "container-title" : "Habitat International", "id" : "ITEM-1", "issued" : { "date-parts" : [ [ "2015" ] ] }, "page" : "224-233", "publisher" : "Elsevier Ltd", "title" : "Affordable housing policy in China: New developments and new challenges", "type" : "article-journal", "volume" : "54" }, "uris" : [ "http://www.mendeley.com/documents/?uuid=bc0425a6-3712-4507-be4b-5ffc68587f75" ] } ], "mendeley" : { "formattedCitation" : "(Shi, Chen, &amp; Wang, 2015)", "manualFormatting" : "Shi, Chen &amp; Wang, 2015; ", "plainTextFormattedCitation" : "(Shi, Chen, &amp; Wang, 2015)", "previouslyFormattedCitation" : "(Shi, Chen, &amp; Wang, 2015)" }, "properties" : { "noteIndex" : 0 }, "schema" : "https://github.com/citation-style-language/schema/raw/master/csl-citation.json" }</w:instrText>
      </w:r>
      <w:r w:rsidRPr="005607BE">
        <w:rPr>
          <w:rFonts w:eastAsia="Calibri" w:cs="Times New Roman"/>
          <w:noProof/>
        </w:rPr>
        <w:fldChar w:fldCharType="separate"/>
      </w:r>
      <w:r w:rsidRPr="005607BE">
        <w:rPr>
          <w:rFonts w:eastAsia="Calibri" w:cs="Times New Roman"/>
          <w:noProof/>
        </w:rPr>
        <w:t xml:space="preserve">Shi, Chen &amp; Wang, 2015; </w:t>
      </w:r>
      <w:r w:rsidRPr="005607BE">
        <w:rPr>
          <w:rFonts w:eastAsia="Calibri" w:cs="Times New Roman"/>
          <w:noProof/>
        </w:rPr>
        <w:fldChar w:fldCharType="end"/>
      </w:r>
      <w:r>
        <w:rPr>
          <w:rFonts w:eastAsia="Calibri" w:cs="Times New Roman"/>
          <w:noProof/>
        </w:rPr>
        <w:t xml:space="preserve">Li, 2015; </w:t>
      </w:r>
      <w:r w:rsidRPr="005607BE">
        <w:rPr>
          <w:rFonts w:eastAsia="Calibri" w:cs="Times New Roman"/>
          <w:noProof/>
          <w:szCs w:val="24"/>
        </w:rPr>
        <w:t>Belsky, 2013; Bessant &amp; Johnson, 2013; Khan, Mahamu</w:t>
      </w:r>
      <w:r>
        <w:rPr>
          <w:rFonts w:eastAsia="Calibri" w:cs="Times New Roman"/>
          <w:noProof/>
          <w:szCs w:val="24"/>
        </w:rPr>
        <w:t>d &amp; Kamaruddin, 2012</w:t>
      </w:r>
      <w:r w:rsidRPr="005607BE">
        <w:rPr>
          <w:rFonts w:eastAsia="Calibri" w:cs="Times New Roman"/>
          <w:noProof/>
          <w:szCs w:val="24"/>
        </w:rPr>
        <w:t>)</w:t>
      </w:r>
      <w:r w:rsidRPr="005607BE">
        <w:rPr>
          <w:rFonts w:eastAsia="Calibri" w:cs="Times New Roman"/>
          <w:szCs w:val="24"/>
        </w:rPr>
        <w:fldChar w:fldCharType="end"/>
      </w:r>
      <w:r w:rsidRPr="005607BE">
        <w:rPr>
          <w:rFonts w:eastAsia="Calibri" w:cs="Times New Roman"/>
          <w:szCs w:val="24"/>
        </w:rPr>
        <w:t xml:space="preserve">. There are particular groups of people in </w:t>
      </w:r>
      <w:r>
        <w:rPr>
          <w:rFonts w:eastAsia="Calibri" w:cs="Times New Roman"/>
          <w:szCs w:val="24"/>
        </w:rPr>
        <w:t>Malaysia</w:t>
      </w:r>
      <w:r w:rsidRPr="005607BE">
        <w:rPr>
          <w:rFonts w:eastAsia="Calibri" w:cs="Times New Roman"/>
          <w:szCs w:val="24"/>
        </w:rPr>
        <w:t xml:space="preserve">; especially those in urban areas suffering the same problem </w:t>
      </w:r>
      <w:r w:rsidRPr="005607BE">
        <w:rPr>
          <w:rFonts w:eastAsia="Calibri" w:cs="Times New Roman"/>
          <w:szCs w:val="24"/>
        </w:rPr>
        <w:fldChar w:fldCharType="begin" w:fldLock="1"/>
      </w:r>
      <w:r>
        <w:rPr>
          <w:rFonts w:eastAsia="Calibri" w:cs="Times New Roman"/>
          <w:szCs w:val="24"/>
        </w:rPr>
        <w:instrText>ADDIN CSL_CITATION { "citationItems" : [ { "id" : "ITEM-1", "itemData" : { "author" : [ { "dropping-particle" : "", "family" : "Baqutayan", "given" : "Shadiya Mohamed Saleh", "non-dropping-particle" : "", "parse-names" : false, "suffix" : "" } ], "id" : "ITEM-1", "issue" : "7", "issued" : { "date-parts" : [ [ "2014" ] ] }, "page" : "82-90", "title" : "The Affordable Housing Stress among Middle-Income Group", "type" : "article-journal", "volume" : "19" }, "uris" : [ "http://www.mendeley.com/documents/?uuid=35c5d72f-c640-4fd2-ae1c-100d1ddd3afc" ] }, { "id" : "ITEM-2", "itemData" : { "author" : [ { "dropping-particle" : "", "family" : "Khazanah Research Institute", "given" : "", "non-dropping-particle" : "", "parse-names" : false, "suffix" : "" } ], "id" : "ITEM-2", "issued" : { "date-parts" : [ [ "2014" ] ] }, "publisher-place" : "Kuala Lumpur", "title" : "The State of Household", "type" : "report" }, "uris" : [ "http://www.mendeley.com/documents/?uuid=2fbff722-b231-4969-b7e5-6b776d29a111" ] }, { "id" : "ITEM-3", "itemData" : { "author" : [ { "dropping-particle" : "", "family" : "Ahmad, A.B;Farah Hanan, N.M.A &amp; Hasmah", "given" : "A.Z", "non-dropping-particle" : "", "parse-names" : false, "suffix" : "" } ], "container-title" : "Asia Pacific Network For Housing Research (APNHR Conferece 2013)", "id" : "ITEM-3", "issue" : "August", "issued" : { "date-parts" : [ [ "2013" ] ] }, "page" : "20-22", "title" : "Generation Y Housing Affordability", "type" : "paper-conference" }, "uris" : [ "http://www.mendeley.com/documents/?uuid=0a768c7b-f963-44f1-b88e-6d4f9969fda4" ] }, { "id" : "ITEM-4", "itemData" : { "author" : [ { "dropping-particle" : "", "family" : "Zafirah Al Sadat Zyed, Wan Nor Azriyati Wan Abd Aziz, Noor Rosly Hanif", "given" : "Peter Aning Tedong", "non-dropping-particle" : "", "parse-names" : false, "suffix" : "" } ], "id" : "ITEM-4", "issue" : "August", "issued" : { "date-parts" : [ [ "2014" ] ] }, "note" : "refer dekat ebscohost utk full references and citation\ndekat ebsohost bgtau publish in 2014.", "page" : "20-22", "publisher" : "Open House International; Dec2014, Vol. 39 Issue 4, p5-13, 9p", "title" : "Affordable housing schemes : overcoming homeownership problems among younger working household", "type" : "paper-conference" }, "uris" : [ "http://www.mendeley.com/documents/?uuid=9fa6aab0-e99e-46ed-b689-f1935d55156b" ] }, { "id" : "ITEM-5", "itemData" : { "DOI" : "10.1016/j.cities.2011.11.016", "ISBN" : "0264-2751", "ISSN" : "02642751", "PMID" : "82429023", "abstract" : "High housing prices in Greater Kuala Lumpur have made it difficult for potential first-time homebuyers to own a house. As a result, affordable housing schemes were introduced recently to assist potential homeowners. The Malaysian government has launched many kinds of public low-cost housing schemes; however, many housing projects resulting from these schemes have turned into slums that do not provide a wholesome environment for families. To avoid building more slums and to provide more benefits for young buyers, the goal of this paper is to determine the correct housing attributes required for first-time homebuyers in the urban area. Three hundred questionnaires were distributed to young Malaysians in Greater Kuala Lumpur (KL), and 265 questionnaires were returned. The responses to the questionnaire revealed that accessibility and neighborhood environment play a role in the decision to own. It can also be observed that ecologically friendly homes that embrace sustainability are important considerations for prospective homebuyers. ?? 2011 Elsevier Ltd.", "author" : [ { "dropping-particle" : "", "family" : "Tan", "given" : "Teck Hong", "non-dropping-particle" : "", "parse-names" : false, "suffix" : "" } ], "container-title" : "Cities", "id" : "ITEM-5", "issue" : "6", "issued" : { "date-parts" : [ [ "2012" ] ] }, "page" : "389-396", "publisher" : "Elsevier Ltd", "title" : "Meeting first-time buyers' housing needs and preferences in greater Kuala Lumpur", "type" : "article-journal", "volume" : "29" }, "uris" : [ "http://www.mendeley.com/documents/?uuid=0f316016-3119-4635-b0ce-a8abcb835e79" ] } ], "mendeley" : { "formattedCitation" : "(Ahmad, A.B;Farah Hanan, N.M.A &amp; Hasmah, 2013; Baqutayan, 2014; Khazanah Research Institute, 2014; Tan, 2012; Zafirah Al Sadat Zyed, Wan Nor Azriyati Wan Abd Aziz, Noor Rosly Hanif, 2014)", "manualFormatting" : "(Baqutayan, 2014; Zyed, Wan Nor Azriyati, Noor Rosly, Peter, 2014; Ahmad et al., 2013; Tan, 2012)", "plainTextFormattedCitation" : "(Ahmad, A.B;Farah Hanan, N.M.A &amp; Hasmah, 2013; Baqutayan, 2014; Khazanah Research Institute, 2014; Tan, 2012; Zafirah Al Sadat Zyed, Wan Nor Azriyati Wan Abd Aziz, Noor Rosly Hanif, 2014)", "previouslyFormattedCitation" : "(Ahmad, A.B;Farah Hanan, N.M.A &amp; Hasmah, 2013; Baqutayan, 2014; Khazanah Research Institute, 2014; Tan, 2012; Zafirah Al Sadat Zyed, Wan Nor Azriyati Wan Abd Aziz, Noor Rosly Hanif, 2014)" }, "properties" : { "noteIndex" : 0 }, "schema" : "https://github.com/citation-style-language/schema/raw/master/csl-citation.json" }</w:instrText>
      </w:r>
      <w:r w:rsidRPr="005607BE">
        <w:rPr>
          <w:rFonts w:eastAsia="Calibri" w:cs="Times New Roman"/>
          <w:szCs w:val="24"/>
        </w:rPr>
        <w:fldChar w:fldCharType="separate"/>
      </w:r>
      <w:r w:rsidRPr="005607BE">
        <w:rPr>
          <w:rFonts w:eastAsia="Calibri" w:cs="Times New Roman"/>
          <w:noProof/>
          <w:szCs w:val="24"/>
        </w:rPr>
        <w:t>(Baqutayan, 2014;</w:t>
      </w:r>
      <w:r w:rsidRPr="00ED0768">
        <w:rPr>
          <w:rFonts w:eastAsia="Calibri" w:cs="Times New Roman"/>
          <w:noProof/>
          <w:szCs w:val="24"/>
        </w:rPr>
        <w:t xml:space="preserve"> </w:t>
      </w:r>
      <w:r w:rsidRPr="005607BE">
        <w:rPr>
          <w:rFonts w:eastAsia="Calibri" w:cs="Times New Roman"/>
          <w:noProof/>
          <w:szCs w:val="24"/>
        </w:rPr>
        <w:t>Zyed, Wan Nor Azriyati, Noor Rosly</w:t>
      </w:r>
      <w:r w:rsidR="00F83548">
        <w:rPr>
          <w:rFonts w:eastAsia="Calibri" w:cs="Times New Roman"/>
          <w:noProof/>
          <w:szCs w:val="24"/>
        </w:rPr>
        <w:t xml:space="preserve"> &amp; </w:t>
      </w:r>
      <w:r>
        <w:rPr>
          <w:rFonts w:eastAsia="Calibri" w:cs="Times New Roman"/>
          <w:noProof/>
          <w:szCs w:val="24"/>
        </w:rPr>
        <w:t xml:space="preserve">Peter, </w:t>
      </w:r>
      <w:r w:rsidRPr="005607BE">
        <w:rPr>
          <w:rFonts w:eastAsia="Calibri" w:cs="Times New Roman"/>
          <w:noProof/>
          <w:szCs w:val="24"/>
        </w:rPr>
        <w:t>2014</w:t>
      </w:r>
      <w:r>
        <w:rPr>
          <w:rFonts w:eastAsia="Calibri" w:cs="Times New Roman"/>
          <w:noProof/>
          <w:szCs w:val="24"/>
        </w:rPr>
        <w:t xml:space="preserve">; </w:t>
      </w:r>
      <w:r w:rsidRPr="005607BE">
        <w:rPr>
          <w:rFonts w:eastAsia="Calibri" w:cs="Times New Roman"/>
          <w:noProof/>
          <w:szCs w:val="24"/>
        </w:rPr>
        <w:t>Ahmad</w:t>
      </w:r>
      <w:r w:rsidR="006D65FE">
        <w:rPr>
          <w:rFonts w:eastAsia="Calibri" w:cs="Times New Roman"/>
          <w:noProof/>
          <w:szCs w:val="24"/>
        </w:rPr>
        <w:t xml:space="preserve">, Farah Hanan </w:t>
      </w:r>
      <w:r w:rsidR="00F83548">
        <w:rPr>
          <w:rFonts w:eastAsia="Calibri" w:cs="Times New Roman"/>
          <w:noProof/>
          <w:szCs w:val="24"/>
        </w:rPr>
        <w:t>&amp; Hasmah</w:t>
      </w:r>
      <w:r w:rsidRPr="005607BE">
        <w:rPr>
          <w:rFonts w:eastAsia="Calibri" w:cs="Times New Roman"/>
          <w:noProof/>
          <w:szCs w:val="24"/>
        </w:rPr>
        <w:t>, 2013;</w:t>
      </w:r>
      <w:r>
        <w:rPr>
          <w:rFonts w:eastAsia="Calibri" w:cs="Times New Roman"/>
          <w:noProof/>
          <w:szCs w:val="24"/>
        </w:rPr>
        <w:t xml:space="preserve"> Tan, 2012</w:t>
      </w:r>
      <w:r w:rsidRPr="005607BE">
        <w:rPr>
          <w:rFonts w:eastAsia="Calibri" w:cs="Times New Roman"/>
          <w:noProof/>
          <w:szCs w:val="24"/>
        </w:rPr>
        <w:t>)</w:t>
      </w:r>
      <w:r w:rsidRPr="005607BE">
        <w:rPr>
          <w:rFonts w:eastAsia="Calibri" w:cs="Times New Roman"/>
          <w:szCs w:val="24"/>
        </w:rPr>
        <w:fldChar w:fldCharType="end"/>
      </w:r>
      <w:r w:rsidRPr="005607BE">
        <w:rPr>
          <w:rFonts w:eastAsia="Calibri" w:cs="Times New Roman"/>
          <w:szCs w:val="24"/>
        </w:rPr>
        <w:t xml:space="preserve">. </w:t>
      </w:r>
      <w:r w:rsidR="00524D7F">
        <w:t xml:space="preserve"> </w:t>
      </w:r>
      <w:r>
        <w:t xml:space="preserve">Housing, including rentals is rated as unaffordable for the people </w:t>
      </w:r>
      <w:r>
        <w:lastRenderedPageBreak/>
        <w:t>as many of them still struggling to have a house</w:t>
      </w:r>
      <w:r w:rsidR="007214D0">
        <w:t xml:space="preserve"> (</w:t>
      </w:r>
      <w:proofErr w:type="spellStart"/>
      <w:r w:rsidR="007214D0">
        <w:t>Mahazril</w:t>
      </w:r>
      <w:proofErr w:type="spellEnd"/>
      <w:r w:rsidR="007214D0">
        <w:t xml:space="preserve"> ‘</w:t>
      </w:r>
      <w:proofErr w:type="spellStart"/>
      <w:r w:rsidR="007214D0">
        <w:t>Aini</w:t>
      </w:r>
      <w:proofErr w:type="spellEnd"/>
      <w:r w:rsidR="007214D0">
        <w:t xml:space="preserve">, </w:t>
      </w:r>
      <w:r w:rsidR="00AE129B">
        <w:t xml:space="preserve">Siti Hajar, Wan </w:t>
      </w:r>
      <w:proofErr w:type="gramStart"/>
      <w:r w:rsidR="00AE129B">
        <w:t>Nor</w:t>
      </w:r>
      <w:proofErr w:type="gramEnd"/>
      <w:r w:rsidR="00AE129B">
        <w:t xml:space="preserve"> </w:t>
      </w:r>
      <w:proofErr w:type="spellStart"/>
      <w:r w:rsidR="00AE129B">
        <w:t>Azriyati</w:t>
      </w:r>
      <w:proofErr w:type="spellEnd"/>
      <w:r w:rsidR="00AE129B">
        <w:t xml:space="preserve">, </w:t>
      </w:r>
      <w:r w:rsidR="007214D0">
        <w:t xml:space="preserve">2017). </w:t>
      </w:r>
    </w:p>
    <w:p w14:paraId="36AD3A59" w14:textId="031286C7" w:rsidR="00A86D73" w:rsidRDefault="008C7DCC" w:rsidP="00175DCC">
      <w:pPr>
        <w:spacing w:after="0"/>
        <w:ind w:firstLine="720"/>
      </w:pPr>
      <w:r>
        <w:rPr>
          <w:rFonts w:eastAsia="Times New Roman" w:cs="Times New Roman"/>
        </w:rPr>
        <w:t>V</w:t>
      </w:r>
      <w:r w:rsidRPr="009B013D">
        <w:rPr>
          <w:rFonts w:eastAsia="Times New Roman" w:cs="Times New Roman"/>
        </w:rPr>
        <w:t>arious housing initiatives promoted by the government</w:t>
      </w:r>
      <w:r>
        <w:rPr>
          <w:rFonts w:eastAsia="Times New Roman" w:cs="Times New Roman"/>
        </w:rPr>
        <w:t xml:space="preserve"> </w:t>
      </w:r>
      <w:r w:rsidRPr="009B013D">
        <w:rPr>
          <w:rFonts w:eastAsia="Times New Roman" w:cs="Times New Roman"/>
        </w:rPr>
        <w:t xml:space="preserve">were merely inclusive of the lower-income group </w:t>
      </w:r>
      <w:r w:rsidRPr="009B013D">
        <w:rPr>
          <w:rFonts w:eastAsia="Times New Roman" w:cs="Times New Roman"/>
        </w:rPr>
        <w:fldChar w:fldCharType="begin" w:fldLock="1"/>
      </w:r>
      <w:r w:rsidRPr="009B013D">
        <w:rPr>
          <w:rFonts w:eastAsia="Times New Roman" w:cs="Times New Roman"/>
        </w:rPr>
        <w:instrText>ADDIN CSL_CITATION { "citationItems" : [ { "id" : "ITEM-1", "itemData" : { "DOI" : "10.7763/IJSSH.2016.V6.686", "ISSN" : "20103646", "author" : [ { "dropping-particle" : "", "family" : "Baqutaya", "given" : "S.", "non-dropping-particle" : "", "parse-names" : false, "suffix" : "" }, { "dropping-particle" : "", "family" : "Ariffin", "given" : "a. S.", "non-dropping-particle" : "", "parse-names" : false, "suffix" : "" }, { "dropping-particle" : "", "family" : "Raji", "given" : "F.", "non-dropping-particle" : "", "parse-names" : false, "suffix" : "" } ], "container-title" : "International Journal of Social Science and Humanity", "id" : "ITEM-1", "issue" : "6", "issued" : { "date-parts" : [ [ "2016" ] ] }, "page" : "433-436", "title" : "Affordable Housing Policy: Issues and Challenges among Middle-Income Groups", "type" : "article-journal", "volume" : "6" }, "uris" : [ "http://www.mendeley.com/documents/?uuid=b814c084-416e-425a-b5f0-c46be64fcd67" ] }, { "id" : "ITEM-2", "itemData" : { "DOI" : "10.1057/9781403919809", "ISBN" : "9781403919809", "abstract" : "This book provides an up-to-date account of housing policy systems in eight countries: Hong Kong, Indonesia, Japan, Korea, Malaysia, Taiwan, Thailand and Singapore. With one chapter devoted to each country, there are, in addition, introductory and concluding chapters in which the editors identify both the similarities in the problems faced, and in the approaches adopted, by the governments of the Asian countries - setting them apart from the West - as well as the differences that indicate the variety of Asian solutions.", "author" : [ { "dropping-particle" : "", "family" : "Agus", "given" : "Mohammed Razali", "non-dropping-particle" : "", "parse-names" : false, "suffix" : "" }, { "dropping-particle" : "", "family" : "Doling", "given" : "John", "non-dropping-particle" : "", "parse-names" : false, "suffix" : "" }, { "dropping-particle" : "", "family" : "Lee", "given" : "Dong-Sung", "non-dropping-particle" : "", "parse-names" : false, "suffix" : "" } ], "id" : "ITEM-2", "issued" : { "date-parts" : [ [ "2002" ] ] }, "title" : "Housing Policy Systems in South and East Asia", "type" : "book" }, "uris" : [ "http://www.mendeley.com/documents/?uuid=2b2f0b2d-7c38-4d94-b31b-07c6433eb97f" ] }, { "id" : "ITEM-3", "itemData" : { "ISBN" : "9789839931839", "author" : [ { "dropping-particle" : "", "family" : "Cagamas", "given" : "", "non-dropping-particle" : "", "parse-names" : false, "suffix" : "" } ], "id" : "ITEM-3", "issued" : { "date-parts" : [ [ "2013" ] ] }, "publisher" : "Cagamas", "publisher-place" : "Kuala Lumpur", "title" : "Housing the Nation: Policies, Issues and Prospects", "type" : "book" }, "uris" : [ "http://www.mendeley.com/documents/?uuid=ecac76bf-2196-4667-8bab-169faf5f41cb" ] }, { "id" : "ITEM-4", "itemData" : { "author" : [ { "dropping-particle" : "", "family" : "Yong, Kun Hing and Kuppusamy", "given" : "Singaravello", "non-dropping-particle" : "", "parse-names" : false, "suffix" : "" } ], "container-title" : "Asia Pacific Network For Housing Research", "id" : "ITEM-4", "issue" : "August", "issued" : { "date-parts" : [ [ "2013" ] ] }, "title" : "Obstacles to Home Ownership among Low and Middle Income Tenants in Selangor", "type" : "paper-conference" }, "uris" : [ "http://www.mendeley.com/documents/?uuid=ce1a5836-1d92-4206-97e3-f68ab30e0e6d" ] }, { "id" : "ITEM-5", "itemData" : { "author" : [ { "dropping-particle" : "", "family" : "Zafirah Al Sadat Zyed, Wan Nor Azriyati Wan Abd Aziz, Noor Rosly Hanif", "given" : "Peter Aning Tedong", "non-dropping-particle" : "", "parse-names" : false, "suffix" : "" } ], "id" : "ITEM-5", "issue" : "August", "issued" : { "date-parts" : [ [ "2014" ] ] }, "note" : "refer dekat ebscohost utk full references and citation\ndekat ebsohost bgtau publish in 2014.", "page" : "20-22", "publisher" : "Open House International; Dec2014, Vol. 39 Issue 4, p5-13, 9p", "title" : "Affordable housing schemes : overcoming homeownership problems among younger working household", "type" : "paper-conference" }, "uris" : [ "http://www.mendeley.com/documents/?uuid=9fa6aab0-e99e-46ed-b689-f1935d55156b" ] } ], "mendeley" : { "formattedCitation" : "(Agus, Doling, &amp; Lee, 2002; Baqutaya et al., 2016; Cagamas, 2013; Yong, Kun Hing and Kuppusamy, 2013; Zafirah Al Sadat Zyed, Wan Nor Azriyati Wan Abd Aziz, Noor Rosly Hanif, 2014)", "manualFormatting" : "(Baqutaya et al., 2016; Cagamas, 2013; Yong, Kun Hing &amp; Kuppusamy, 2013; Zyed, Wan Nor Azriyati, Noor Rosly, 2013; Agus, Doling, &amp; Lee, 2002)", "plainTextFormattedCitation" : "(Agus, Doling, &amp; Lee, 2002; Baqutaya et al., 2016; Cagamas, 2013; Yong, Kun Hing and Kuppusamy, 2013; Zafirah Al Sadat Zyed, Wan Nor Azriyati Wan Abd Aziz, Noor Rosly Hanif, 2014)", "previouslyFormattedCitation" : "(Agus, Doling, &amp; Lee, 2002; Baqutaya et al., 2016; Cagamas, 2013; Yong, Kun Hing and Kuppusamy, 2013; Zafirah Al Sadat Zyed, Wan Nor Azriyati Wan Abd Aziz, Noor Rosly Hanif, 2014)" }, "properties" : { "noteIndex" : 0 }, "schema" : "https://github.com/citation-style-language/schema/raw/master/csl-citation.json" }</w:instrText>
      </w:r>
      <w:r w:rsidRPr="009B013D">
        <w:rPr>
          <w:rFonts w:eastAsia="Times New Roman" w:cs="Times New Roman"/>
        </w:rPr>
        <w:fldChar w:fldCharType="separate"/>
      </w:r>
      <w:r w:rsidRPr="009B013D">
        <w:rPr>
          <w:rFonts w:eastAsia="Times New Roman" w:cs="Times New Roman"/>
        </w:rPr>
        <w:t>(Baqutaya et al., 2016; Cagamas, 2013; Yong, Kun Hing &amp; Kuppusamy, 2013; Zyed, Wan Nor Azriyati, Noor Rosly, 2013; Agus, Doling, &amp; Lee, 2002)</w:t>
      </w:r>
      <w:r w:rsidRPr="009B013D">
        <w:rPr>
          <w:rFonts w:eastAsia="Times New Roman" w:cs="Times New Roman"/>
        </w:rPr>
        <w:fldChar w:fldCharType="end"/>
      </w:r>
      <w:r w:rsidRPr="009B013D">
        <w:rPr>
          <w:rFonts w:eastAsia="Times New Roman" w:cs="Times New Roman"/>
        </w:rPr>
        <w:t xml:space="preserve">. The policy implicitly excludes the middle-income, with the lack of appropriate housing options for the younger generation. </w:t>
      </w:r>
      <w:r>
        <w:rPr>
          <w:rFonts w:eastAsia="Times New Roman" w:cs="Times New Roman"/>
        </w:rPr>
        <w:t xml:space="preserve">Hence, </w:t>
      </w:r>
      <w:r w:rsidRPr="009B013D">
        <w:rPr>
          <w:rFonts w:eastAsia="Times New Roman" w:cs="Times New Roman"/>
        </w:rPr>
        <w:t>contribute to the growing number of the houseless generation.</w:t>
      </w:r>
    </w:p>
    <w:p w14:paraId="47DACB91" w14:textId="0A5C1A32" w:rsidR="008C7DCC" w:rsidRDefault="00566A12" w:rsidP="00175DCC">
      <w:pPr>
        <w:spacing w:after="0"/>
        <w:ind w:firstLine="720"/>
      </w:pPr>
      <w:r>
        <w:t xml:space="preserve">In order to make cities and human settlement inclusive, safe, resilience and sustainable, there is a need to ensure everybody get an access to adequate, safe and affordable housing. </w:t>
      </w:r>
      <w:r w:rsidR="0082505D">
        <w:t>Housing, thus</w:t>
      </w:r>
      <w:r w:rsidR="006D317B">
        <w:t>,</w:t>
      </w:r>
      <w:r w:rsidR="0082505D">
        <w:t xml:space="preserve"> become a national priority agenda and align</w:t>
      </w:r>
      <w:r w:rsidR="003E6491">
        <w:t>ed</w:t>
      </w:r>
      <w:r w:rsidR="0082505D">
        <w:t xml:space="preserve"> with Goal 11 of the Sustainable Development Goals (SDG)</w:t>
      </w:r>
      <w:r w:rsidR="006D317B">
        <w:t xml:space="preserve"> aiming </w:t>
      </w:r>
      <w:r w:rsidR="00AE0ECA">
        <w:t>to provide sustainable cities and communities (United Nation Development Programme, 2018).</w:t>
      </w:r>
      <w:r w:rsidR="00AE0ECA" w:rsidRPr="00AE0ECA">
        <w:rPr>
          <w:rFonts w:eastAsia="Times New Roman" w:cs="Times New Roman"/>
        </w:rPr>
        <w:t xml:space="preserve"> </w:t>
      </w:r>
      <w:r w:rsidR="00AE0ECA" w:rsidRPr="003E4D89">
        <w:rPr>
          <w:rFonts w:eastAsia="Times New Roman" w:cs="Times New Roman"/>
        </w:rPr>
        <w:t xml:space="preserve">The idea </w:t>
      </w:r>
      <w:r w:rsidR="00BB49F0">
        <w:rPr>
          <w:rFonts w:eastAsia="Times New Roman" w:cs="Times New Roman"/>
        </w:rPr>
        <w:t>also</w:t>
      </w:r>
      <w:r w:rsidR="00AE0ECA" w:rsidRPr="003E4D89">
        <w:rPr>
          <w:rFonts w:eastAsia="Times New Roman" w:cs="Times New Roman"/>
        </w:rPr>
        <w:t xml:space="preserve"> </w:t>
      </w:r>
      <w:r w:rsidR="004C7D75">
        <w:rPr>
          <w:rFonts w:eastAsia="Times New Roman" w:cs="Times New Roman"/>
        </w:rPr>
        <w:t>become</w:t>
      </w:r>
      <w:r w:rsidR="00AE0ECA" w:rsidRPr="003E4D89">
        <w:rPr>
          <w:rFonts w:eastAsia="Times New Roman" w:cs="Times New Roman"/>
        </w:rPr>
        <w:t xml:space="preserve"> the focus of 11</w:t>
      </w:r>
      <w:r w:rsidR="00AE0ECA" w:rsidRPr="003E4D89">
        <w:rPr>
          <w:rFonts w:eastAsia="Times New Roman" w:cs="Times New Roman"/>
          <w:vertAlign w:val="superscript"/>
        </w:rPr>
        <w:t>th</w:t>
      </w:r>
      <w:r w:rsidR="00AE0ECA" w:rsidRPr="003E4D89">
        <w:rPr>
          <w:rFonts w:eastAsia="Times New Roman" w:cs="Times New Roman"/>
        </w:rPr>
        <w:t xml:space="preserve"> Malaysia Plan, which aims to increase access to adequate and quality affordable housing to the poor, low and middle-income households</w:t>
      </w:r>
      <w:r w:rsidR="008C7DCC" w:rsidRPr="003E4D89">
        <w:rPr>
          <w:rFonts w:eastAsia="Times New Roman" w:cs="Times New Roman"/>
        </w:rPr>
        <w:t xml:space="preserve"> (Economic Planning</w:t>
      </w:r>
      <w:r w:rsidR="008C7DCC">
        <w:rPr>
          <w:rFonts w:eastAsia="Times New Roman" w:cs="Times New Roman"/>
        </w:rPr>
        <w:t xml:space="preserve"> Unit, 2016). </w:t>
      </w:r>
      <w:r w:rsidR="00770ACF">
        <w:rPr>
          <w:rFonts w:eastAsia="Times New Roman" w:cs="Times New Roman"/>
        </w:rPr>
        <w:t>T</w:t>
      </w:r>
      <w:r w:rsidR="008C7DCC">
        <w:rPr>
          <w:rFonts w:eastAsia="Times New Roman" w:cs="Times New Roman"/>
        </w:rPr>
        <w:t>o achieve a housing agenda of improving access to housing, there must be a clear understanding of the issues underlying it.</w:t>
      </w:r>
      <w:r w:rsidR="00C0463C">
        <w:rPr>
          <w:rFonts w:eastAsia="Times New Roman" w:cs="Times New Roman"/>
        </w:rPr>
        <w:t xml:space="preserve"> </w:t>
      </w:r>
      <w:r w:rsidR="00267634">
        <w:rPr>
          <w:rFonts w:eastAsia="Times New Roman" w:cs="Times New Roman"/>
        </w:rPr>
        <w:t xml:space="preserve">Thus, </w:t>
      </w:r>
      <w:r w:rsidR="00267634">
        <w:rPr>
          <w:rFonts w:eastAsia="Calibri" w:cs="Times New Roman"/>
          <w:szCs w:val="24"/>
        </w:rPr>
        <w:t>w</w:t>
      </w:r>
      <w:r w:rsidR="00050373" w:rsidRPr="000C33DA">
        <w:rPr>
          <w:rFonts w:eastAsia="Calibri" w:cs="Times New Roman"/>
          <w:szCs w:val="24"/>
        </w:rPr>
        <w:t xml:space="preserve">e need to ask the young people the kind of problems they have encountered in the access to adequate </w:t>
      </w:r>
      <w:r w:rsidR="00050373">
        <w:rPr>
          <w:rFonts w:eastAsia="Calibri" w:cs="Times New Roman"/>
          <w:szCs w:val="24"/>
        </w:rPr>
        <w:t xml:space="preserve">housing. </w:t>
      </w:r>
    </w:p>
    <w:p w14:paraId="4808671F" w14:textId="1765BDE8" w:rsidR="00661103" w:rsidRPr="000B5E4F" w:rsidRDefault="00155A59" w:rsidP="00E0051F">
      <w:pPr>
        <w:ind w:firstLine="720"/>
      </w:pPr>
      <w:r>
        <w:t>T</w:t>
      </w:r>
      <w:r w:rsidR="00817123" w:rsidRPr="003E4D89">
        <w:t xml:space="preserve">his </w:t>
      </w:r>
      <w:r w:rsidR="005042B9" w:rsidRPr="003E4D89">
        <w:t>article</w:t>
      </w:r>
      <w:r>
        <w:t xml:space="preserve"> focus</w:t>
      </w:r>
      <w:r w:rsidR="008043A2">
        <w:t>es</w:t>
      </w:r>
      <w:r>
        <w:t xml:space="preserve"> on the challenges</w:t>
      </w:r>
      <w:r w:rsidR="00817123" w:rsidRPr="003E4D89">
        <w:t xml:space="preserve"> faced by Malaysian young people in their pursuit of adequate housing. </w:t>
      </w:r>
      <w:r>
        <w:t>The author believes that while the study focus</w:t>
      </w:r>
      <w:r w:rsidR="008043A2">
        <w:t>es</w:t>
      </w:r>
      <w:r>
        <w:t xml:space="preserve"> on Malaysia, the implications are international in scope. </w:t>
      </w:r>
      <w:r w:rsidR="00817123" w:rsidRPr="003E4D89">
        <w:t xml:space="preserve">The overview begins by reporting the socio-demographic profiles of the respondents </w:t>
      </w:r>
      <w:r w:rsidR="00D650ED" w:rsidRPr="003E4D89">
        <w:t>to understand who are the</w:t>
      </w:r>
      <w:r w:rsidR="00140F3D" w:rsidRPr="003E4D89">
        <w:t>y and their</w:t>
      </w:r>
      <w:r w:rsidR="00817123" w:rsidRPr="003E4D89">
        <w:t xml:space="preserve"> current living arrangement. </w:t>
      </w:r>
      <w:r w:rsidR="00A86D73" w:rsidRPr="003E4D89">
        <w:t xml:space="preserve">The </w:t>
      </w:r>
      <w:r w:rsidR="00AA56AB" w:rsidRPr="003E4D89">
        <w:t xml:space="preserve">housing </w:t>
      </w:r>
      <w:r w:rsidR="00A86D73" w:rsidRPr="003E4D89">
        <w:t>challenges</w:t>
      </w:r>
      <w:r w:rsidR="00AA56AB" w:rsidRPr="003E4D89">
        <w:t xml:space="preserve"> faced by them</w:t>
      </w:r>
      <w:r w:rsidR="00A86D73" w:rsidRPr="003E4D89">
        <w:t xml:space="preserve"> are discussed from </w:t>
      </w:r>
      <w:r w:rsidR="006F21F1">
        <w:t>the perspectives of structural and economic.</w:t>
      </w:r>
    </w:p>
    <w:p w14:paraId="27176008" w14:textId="6C66A6C1" w:rsidR="00B8136F" w:rsidRDefault="00B8136F" w:rsidP="00E0051F">
      <w:pPr>
        <w:pStyle w:val="Heading2"/>
      </w:pPr>
      <w:r w:rsidRPr="00B8136F">
        <w:t>Methods</w:t>
      </w:r>
    </w:p>
    <w:p w14:paraId="539405E6" w14:textId="78A5AEB9" w:rsidR="00964DD7" w:rsidRDefault="009B5A78" w:rsidP="00175DCC">
      <w:pPr>
        <w:spacing w:after="0"/>
      </w:pPr>
      <w:r>
        <w:t>The main research objective is to identify the challenges faced by the young people in their pursuit of adequate housing. To answer it, t</w:t>
      </w:r>
      <w:r w:rsidR="008B192A">
        <w:t>his study employs both quantitative and qualitative research approaches (</w:t>
      </w:r>
      <w:r w:rsidR="0063672C">
        <w:t>combination</w:t>
      </w:r>
      <w:r w:rsidR="008B192A">
        <w:t xml:space="preserve"> method). </w:t>
      </w:r>
      <w:r w:rsidR="0063672C" w:rsidRPr="0063672C">
        <w:t xml:space="preserve">A </w:t>
      </w:r>
      <w:r w:rsidR="0063672C">
        <w:t xml:space="preserve">combination </w:t>
      </w:r>
      <w:r w:rsidR="0063672C" w:rsidRPr="0063672C">
        <w:t>method design is employed when either the quantitative or qualitative approach itself is insufficient to understand the research problem at best (Creswell, 2009), as in this case is to understand the challenges faced by young people in th</w:t>
      </w:r>
      <w:r w:rsidR="0063672C">
        <w:t xml:space="preserve">eir pursuit of adequate housing. The study was carried out in five research areas in Malaysia consists of Kuala Lumpur, </w:t>
      </w:r>
      <w:proofErr w:type="spellStart"/>
      <w:r w:rsidR="0063672C">
        <w:t>Kajang</w:t>
      </w:r>
      <w:proofErr w:type="spellEnd"/>
      <w:r w:rsidR="0063672C">
        <w:t xml:space="preserve">, Subang Jaya, </w:t>
      </w:r>
      <w:proofErr w:type="spellStart"/>
      <w:r w:rsidR="0063672C">
        <w:t>Klang</w:t>
      </w:r>
      <w:proofErr w:type="spellEnd"/>
      <w:r w:rsidR="0063672C">
        <w:t xml:space="preserve"> and </w:t>
      </w:r>
      <w:proofErr w:type="spellStart"/>
      <w:r w:rsidR="0063672C">
        <w:t>Petaling</w:t>
      </w:r>
      <w:proofErr w:type="spellEnd"/>
      <w:r w:rsidR="0063672C">
        <w:t xml:space="preserve"> Jaya cons</w:t>
      </w:r>
      <w:r w:rsidR="00EA26E3">
        <w:t xml:space="preserve">idering its population density. </w:t>
      </w:r>
      <w:r w:rsidR="008B192A">
        <w:t>T</w:t>
      </w:r>
      <w:r w:rsidR="00AC33C5" w:rsidRPr="00800656">
        <w:t xml:space="preserve">he researcher collected the data through a survey by using questionnaires among young people to better understand the </w:t>
      </w:r>
      <w:r w:rsidR="00AC33C5">
        <w:t xml:space="preserve">challenges faced by them in their </w:t>
      </w:r>
      <w:r w:rsidR="00AC33C5">
        <w:lastRenderedPageBreak/>
        <w:t xml:space="preserve">pursuit of adequate housing. </w:t>
      </w:r>
      <w:r w:rsidR="00DD65E7">
        <w:t xml:space="preserve"> A survey involving 4</w:t>
      </w:r>
      <w:r w:rsidR="00964DD7">
        <w:t>34</w:t>
      </w:r>
      <w:r w:rsidR="00DD65E7">
        <w:t xml:space="preserve"> respondents was taken place in Greater Kuala Lumpur, Malaysia</w:t>
      </w:r>
      <w:r w:rsidR="00964DD7" w:rsidRPr="00964DD7">
        <w:t xml:space="preserve"> </w:t>
      </w:r>
      <w:r w:rsidR="00964DD7">
        <w:t>between 1</w:t>
      </w:r>
      <w:proofErr w:type="gramStart"/>
      <w:r w:rsidR="00964DD7" w:rsidRPr="00964DD7">
        <w:rPr>
          <w:vertAlign w:val="superscript"/>
        </w:rPr>
        <w:t>st</w:t>
      </w:r>
      <w:r w:rsidR="00964DD7">
        <w:t xml:space="preserve">  August</w:t>
      </w:r>
      <w:proofErr w:type="gramEnd"/>
      <w:r w:rsidR="00964DD7">
        <w:t xml:space="preserve"> 2016 to September 2016 with each of the respondents took approximately 30 to 45 minutes to answer the survey questions.</w:t>
      </w:r>
      <w:r w:rsidR="00964DD7" w:rsidRPr="00964DD7">
        <w:t xml:space="preserve"> </w:t>
      </w:r>
      <w:r w:rsidR="00964DD7" w:rsidRPr="008F3F48">
        <w:t>However, the usable questionnaire for the analysis were 396 sets. Hence, the re</w:t>
      </w:r>
      <w:r w:rsidR="00964DD7">
        <w:t>sponse rate for this study is 91.2%.</w:t>
      </w:r>
    </w:p>
    <w:p w14:paraId="35F50F43" w14:textId="4A69B1ED" w:rsidR="008B192A" w:rsidRDefault="00B6543F" w:rsidP="00175DCC">
      <w:pPr>
        <w:spacing w:after="0"/>
      </w:pPr>
      <w:r>
        <w:t xml:space="preserve"> </w:t>
      </w:r>
      <w:r w:rsidR="00F75FF3">
        <w:tab/>
      </w:r>
      <w:r w:rsidRPr="00B6543F">
        <w:t xml:space="preserve">The respondents were randomly chosen based on the inclusive criteria highlighted; which were the respondents must be a Malaysian citizen, aged between 20 to 39 years old, currently residing in Greater Kuala Lumpur, either owning a house, renting or living with their parents or relatives and </w:t>
      </w:r>
      <w:r w:rsidR="00B97908">
        <w:rPr>
          <w:rFonts w:eastAsia="Calibri" w:cs="Times New Roman"/>
        </w:rPr>
        <w:t>e</w:t>
      </w:r>
      <w:r w:rsidR="00B97908" w:rsidRPr="00B97908">
        <w:rPr>
          <w:rFonts w:eastAsia="Calibri" w:cs="Times New Roman"/>
        </w:rPr>
        <w:t xml:space="preserve">mploy a job either in government bodies, private sector or self-employed. </w:t>
      </w:r>
      <w:r w:rsidR="00964DD7" w:rsidRPr="00E23681">
        <w:t xml:space="preserve">The </w:t>
      </w:r>
      <w:r w:rsidR="00964DD7">
        <w:t xml:space="preserve">questionnaire survey was administered using the </w:t>
      </w:r>
      <w:r w:rsidR="00964DD7" w:rsidRPr="00E23681">
        <w:t>Self-</w:t>
      </w:r>
      <w:r w:rsidR="00964DD7">
        <w:t xml:space="preserve">Completion </w:t>
      </w:r>
      <w:r w:rsidR="00964DD7" w:rsidRPr="00E23681">
        <w:t>Questionnaires</w:t>
      </w:r>
      <w:r w:rsidR="00964DD7">
        <w:t xml:space="preserve"> (Self-Administered Questionnaire).</w:t>
      </w:r>
      <w:r w:rsidR="00964DD7" w:rsidRPr="00964DD7">
        <w:t xml:space="preserve"> </w:t>
      </w:r>
    </w:p>
    <w:p w14:paraId="325AA0F4" w14:textId="4BE3688A" w:rsidR="00855E4A" w:rsidRDefault="00A278B9" w:rsidP="0037479A">
      <w:pPr>
        <w:spacing w:after="0"/>
        <w:ind w:firstLine="720"/>
        <w:rPr>
          <w:rFonts w:eastAsia="Calibri" w:cs="Times New Roman"/>
        </w:rPr>
      </w:pPr>
      <w:r w:rsidRPr="00D80B7A">
        <w:rPr>
          <w:rFonts w:eastAsia="Calibri" w:cs="Times New Roman"/>
        </w:rPr>
        <w:t>This st</w:t>
      </w:r>
      <w:r>
        <w:rPr>
          <w:rFonts w:eastAsia="Calibri" w:cs="Times New Roman"/>
        </w:rPr>
        <w:t>udy used D</w:t>
      </w:r>
      <w:r w:rsidRPr="00D80B7A">
        <w:rPr>
          <w:rFonts w:eastAsia="Calibri" w:cs="Times New Roman"/>
        </w:rPr>
        <w:t xml:space="preserve">escriptive statistics to analyse the </w:t>
      </w:r>
      <w:r>
        <w:rPr>
          <w:rFonts w:eastAsia="Calibri" w:cs="Times New Roman"/>
        </w:rPr>
        <w:t>profiles of the respondents and their current living arrangement and the challenges faced by young people in their pursuit to adequate housing). It</w:t>
      </w:r>
      <w:r w:rsidRPr="00D80B7A">
        <w:rPr>
          <w:rFonts w:eastAsia="Calibri" w:cs="Times New Roman"/>
        </w:rPr>
        <w:t xml:space="preserve"> was calculated by looking at the frequency, mean and median of the data distribution.</w:t>
      </w:r>
      <w:r>
        <w:rPr>
          <w:rFonts w:eastAsia="Calibri" w:cs="Times New Roman"/>
        </w:rPr>
        <w:t xml:space="preserve"> </w:t>
      </w:r>
      <w:r w:rsidR="00F75FF3">
        <w:rPr>
          <w:rFonts w:eastAsia="Calibri" w:cs="Times New Roman"/>
        </w:rPr>
        <w:t>It also</w:t>
      </w:r>
      <w:r w:rsidR="00855E4A" w:rsidRPr="00855E4A">
        <w:rPr>
          <w:rFonts w:eastAsia="Calibri" w:cs="Times New Roman"/>
        </w:rPr>
        <w:t xml:space="preserve"> employed the relative importance index (RII) to determine the challenges faced by the respondents in owning a home. The RII analysis was performed using the data which weighted relative index is given to each indicator based on the data. The higher the index of the indicator, the more important is that indicators among all the indicators in the construct (</w:t>
      </w:r>
      <w:proofErr w:type="spellStart"/>
      <w:r w:rsidR="00855E4A" w:rsidRPr="00855E4A">
        <w:rPr>
          <w:rFonts w:eastAsia="Calibri" w:cs="Times New Roman"/>
        </w:rPr>
        <w:t>Jarkas</w:t>
      </w:r>
      <w:proofErr w:type="spellEnd"/>
      <w:r w:rsidR="00855E4A" w:rsidRPr="00855E4A">
        <w:rPr>
          <w:rFonts w:eastAsia="Calibri" w:cs="Times New Roman"/>
        </w:rPr>
        <w:t xml:space="preserve"> &amp; </w:t>
      </w:r>
      <w:proofErr w:type="spellStart"/>
      <w:r w:rsidR="00855E4A" w:rsidRPr="00855E4A">
        <w:rPr>
          <w:rFonts w:eastAsia="Calibri" w:cs="Times New Roman"/>
        </w:rPr>
        <w:t>Bitar</w:t>
      </w:r>
      <w:proofErr w:type="spellEnd"/>
      <w:r w:rsidR="00855E4A" w:rsidRPr="00855E4A">
        <w:rPr>
          <w:rFonts w:eastAsia="Calibri" w:cs="Times New Roman"/>
        </w:rPr>
        <w:t>, 2012).  Having this, the result that indicates the highest value will signify the most challenges faced by the young people. This index was computed by using equation below:</w:t>
      </w:r>
    </w:p>
    <w:p w14:paraId="6E2E5A29" w14:textId="77777777" w:rsidR="0037479A" w:rsidRPr="0037479A" w:rsidRDefault="0037479A" w:rsidP="0037479A">
      <w:pPr>
        <w:spacing w:after="0"/>
        <w:ind w:firstLine="720"/>
      </w:pPr>
    </w:p>
    <w:p w14:paraId="1BAA11E0" w14:textId="01E1DFFC" w:rsidR="00855E4A" w:rsidRPr="00811369" w:rsidRDefault="00811369" w:rsidP="00E0051F">
      <w:pPr>
        <w:autoSpaceDE w:val="0"/>
        <w:autoSpaceDN w:val="0"/>
        <w:adjustRightInd w:val="0"/>
        <w:spacing w:after="0"/>
        <w:rPr>
          <w:rFonts w:eastAsia="Calibri" w:cs="Times New Roman"/>
          <w:color w:val="000000"/>
          <w:sz w:val="22"/>
          <w:lang w:val="en-US"/>
        </w:rPr>
      </w:pPr>
      <m:oMathPara>
        <m:oMath>
          <m:r>
            <m:rPr>
              <m:sty m:val="p"/>
            </m:rPr>
            <w:rPr>
              <w:rFonts w:ascii="Cambria Math" w:eastAsia="Calibri" w:hAnsi="Cambria Math" w:cs="Times New Roman"/>
              <w:color w:val="000000"/>
              <w:sz w:val="22"/>
              <w:lang w:val="en-US"/>
            </w:rPr>
            <m:t>RII</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m:t>
              </m:r>
            </m:e>
          </m:d>
          <m:r>
            <m:rPr>
              <m:sty m:val="p"/>
            </m:rPr>
            <w:rPr>
              <w:rFonts w:ascii="Cambria Math" w:eastAsia="Calibri" w:hAnsi="Cambria Math" w:cs="Times New Roman"/>
              <w:color w:val="000000"/>
              <w:sz w:val="22"/>
              <w:lang w:val="en-US"/>
            </w:rPr>
            <m:t xml:space="preserve">= </m:t>
          </m:r>
          <m:f>
            <m:fPr>
              <m:ctrlPr>
                <w:rPr>
                  <w:rFonts w:ascii="Cambria Math" w:eastAsia="Calibri" w:hAnsi="Cambria Math" w:cs="Times New Roman"/>
                  <w:color w:val="000000"/>
                  <w:sz w:val="22"/>
                  <w:lang w:val="en-US"/>
                </w:rPr>
              </m:ctrlPr>
            </m:fPr>
            <m:num>
              <m:r>
                <m:rPr>
                  <m:sty m:val="p"/>
                </m:rPr>
                <w:rPr>
                  <w:rFonts w:ascii="Cambria Math" w:eastAsia="Calibri" w:hAnsi="Cambria Math" w:cs="Times New Roman"/>
                  <w:color w:val="000000"/>
                  <w:sz w:val="22"/>
                  <w:lang w:val="en-US"/>
                </w:rPr>
                <m:t xml:space="preserve">1 </m:t>
              </m:r>
              <m:r>
                <m:rPr>
                  <m:scr m:val="sans-serif"/>
                  <m:sty m:val="p"/>
                </m:rPr>
                <w:rPr>
                  <w:rFonts w:ascii="Cambria Math" w:eastAsia="Calibri" w:hAnsi="Cambria Math" w:cs="Times New Roman"/>
                  <w:color w:val="000000"/>
                  <w:sz w:val="22"/>
                  <w:lang w:val="en-US"/>
                </w:rPr>
                <m:t xml:space="preserve">x </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n1</m:t>
                  </m:r>
                </m:e>
              </m:d>
              <m:r>
                <m:rPr>
                  <m:sty m:val="p"/>
                </m:rPr>
                <w:rPr>
                  <w:rFonts w:ascii="Cambria Math" w:eastAsia="Calibri" w:hAnsi="Cambria Math" w:cs="Times New Roman"/>
                  <w:color w:val="000000"/>
                  <w:sz w:val="22"/>
                  <w:lang w:val="en-US"/>
                </w:rPr>
                <m:t xml:space="preserve">+ 2 </m:t>
              </m:r>
              <m:r>
                <m:rPr>
                  <m:scr m:val="sans-serif"/>
                  <m:sty m:val="p"/>
                </m:rPr>
                <w:rPr>
                  <w:rFonts w:ascii="Cambria Math" w:eastAsia="Calibri" w:hAnsi="Cambria Math" w:cs="Times New Roman"/>
                  <w:color w:val="000000"/>
                  <w:sz w:val="22"/>
                  <w:lang w:val="en-US"/>
                </w:rPr>
                <m:t xml:space="preserve">x </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n2</m:t>
                  </m:r>
                </m:e>
              </m:d>
              <m:r>
                <m:rPr>
                  <m:sty m:val="p"/>
                </m:rPr>
                <w:rPr>
                  <w:rFonts w:ascii="Cambria Math" w:eastAsia="Calibri" w:hAnsi="Cambria Math" w:cs="Times New Roman"/>
                  <w:color w:val="000000"/>
                  <w:sz w:val="22"/>
                  <w:lang w:val="en-US"/>
                </w:rPr>
                <m:t xml:space="preserve">+ 3 </m:t>
              </m:r>
              <m:r>
                <m:rPr>
                  <m:scr m:val="sans-serif"/>
                  <m:sty m:val="p"/>
                </m:rPr>
                <w:rPr>
                  <w:rFonts w:ascii="Cambria Math" w:eastAsia="Calibri" w:hAnsi="Cambria Math" w:cs="Times New Roman"/>
                  <w:color w:val="000000"/>
                  <w:sz w:val="22"/>
                  <w:lang w:val="en-US"/>
                </w:rPr>
                <m:t xml:space="preserve">x </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n3</m:t>
                  </m:r>
                </m:e>
              </m:d>
              <m:r>
                <m:rPr>
                  <m:sty m:val="p"/>
                </m:rPr>
                <w:rPr>
                  <w:rFonts w:ascii="Cambria Math" w:eastAsia="Calibri" w:hAnsi="Cambria Math" w:cs="Times New Roman"/>
                  <w:color w:val="000000"/>
                  <w:sz w:val="22"/>
                  <w:lang w:val="en-US"/>
                </w:rPr>
                <m:t xml:space="preserve">+ 4 </m:t>
              </m:r>
              <m:r>
                <m:rPr>
                  <m:scr m:val="sans-serif"/>
                  <m:sty m:val="p"/>
                </m:rPr>
                <w:rPr>
                  <w:rFonts w:ascii="Cambria Math" w:eastAsia="Calibri" w:hAnsi="Cambria Math" w:cs="Times New Roman"/>
                  <w:color w:val="000000"/>
                  <w:sz w:val="22"/>
                  <w:lang w:val="en-US"/>
                </w:rPr>
                <m:t xml:space="preserve">x </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n4</m:t>
                  </m:r>
                </m:e>
              </m:d>
              <m:r>
                <m:rPr>
                  <m:sty m:val="p"/>
                </m:rPr>
                <w:rPr>
                  <w:rFonts w:ascii="Cambria Math" w:eastAsia="Calibri" w:hAnsi="Cambria Math" w:cs="Times New Roman"/>
                  <w:color w:val="000000"/>
                  <w:sz w:val="22"/>
                  <w:lang w:val="en-US"/>
                </w:rPr>
                <m:t xml:space="preserve">+ 5 </m:t>
              </m:r>
              <m:r>
                <m:rPr>
                  <m:scr m:val="sans-serif"/>
                  <m:sty m:val="p"/>
                </m:rPr>
                <w:rPr>
                  <w:rFonts w:ascii="Cambria Math" w:eastAsia="Calibri" w:hAnsi="Cambria Math" w:cs="Times New Roman"/>
                  <w:color w:val="000000"/>
                  <w:sz w:val="22"/>
                  <w:lang w:val="en-US"/>
                </w:rPr>
                <m:t xml:space="preserve">x </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n5</m:t>
                  </m:r>
                </m:e>
              </m:d>
              <m:r>
                <w:rPr>
                  <w:rFonts w:ascii="Cambria Math" w:eastAsia="Calibri" w:hAnsi="Cambria Math" w:cs="Times New Roman"/>
                  <w:color w:val="000000"/>
                  <w:sz w:val="22"/>
                  <w:lang w:val="en-US"/>
                </w:rPr>
                <m:t>+</m:t>
              </m:r>
              <m:r>
                <m:rPr>
                  <m:sty m:val="p"/>
                </m:rPr>
                <w:rPr>
                  <w:rFonts w:ascii="Cambria Math" w:eastAsia="Calibri" w:hAnsi="Cambria Math" w:cs="Times New Roman"/>
                  <w:color w:val="000000"/>
                  <w:sz w:val="22"/>
                  <w:lang w:val="en-US"/>
                </w:rPr>
                <m:t xml:space="preserve">6 </m:t>
              </m:r>
              <m:r>
                <m:rPr>
                  <m:scr m:val="sans-serif"/>
                  <m:sty m:val="p"/>
                </m:rPr>
                <w:rPr>
                  <w:rFonts w:ascii="Cambria Math" w:eastAsia="Calibri" w:hAnsi="Cambria Math" w:cs="Times New Roman"/>
                  <w:color w:val="000000"/>
                  <w:sz w:val="22"/>
                  <w:lang w:val="en-US"/>
                </w:rPr>
                <m:t xml:space="preserve">x </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n6</m:t>
                  </m:r>
                </m:e>
              </m:d>
              <m:r>
                <w:rPr>
                  <w:rFonts w:ascii="Cambria Math" w:eastAsia="Calibri" w:hAnsi="Cambria Math" w:cs="Times New Roman"/>
                  <w:color w:val="000000"/>
                  <w:sz w:val="22"/>
                  <w:lang w:val="en-US"/>
                </w:rPr>
                <m:t xml:space="preserve">+ </m:t>
              </m:r>
              <m:r>
                <m:rPr>
                  <m:sty m:val="p"/>
                </m:rPr>
                <w:rPr>
                  <w:rFonts w:ascii="Cambria Math" w:eastAsia="Calibri" w:hAnsi="Cambria Math" w:cs="Times New Roman"/>
                  <w:color w:val="000000"/>
                  <w:sz w:val="22"/>
                  <w:lang w:val="en-US"/>
                </w:rPr>
                <m:t xml:space="preserve">7 </m:t>
              </m:r>
              <m:r>
                <m:rPr>
                  <m:scr m:val="sans-serif"/>
                  <m:sty m:val="p"/>
                </m:rPr>
                <w:rPr>
                  <w:rFonts w:ascii="Cambria Math" w:eastAsia="Calibri" w:hAnsi="Cambria Math" w:cs="Times New Roman"/>
                  <w:color w:val="000000"/>
                  <w:sz w:val="22"/>
                  <w:lang w:val="en-US"/>
                </w:rPr>
                <m:t xml:space="preserve">x </m:t>
              </m:r>
              <m:d>
                <m:dPr>
                  <m:ctrlPr>
                    <w:rPr>
                      <w:rFonts w:ascii="Cambria Math" w:eastAsia="Calibri" w:hAnsi="Cambria Math" w:cs="Times New Roman"/>
                      <w:color w:val="000000"/>
                      <w:sz w:val="22"/>
                      <w:lang w:val="en-US"/>
                    </w:rPr>
                  </m:ctrlPr>
                </m:dPr>
                <m:e>
                  <m:r>
                    <m:rPr>
                      <m:sty m:val="p"/>
                    </m:rPr>
                    <w:rPr>
                      <w:rFonts w:ascii="Cambria Math" w:eastAsia="Calibri" w:hAnsi="Cambria Math" w:cs="Times New Roman"/>
                      <w:color w:val="000000"/>
                      <w:sz w:val="22"/>
                      <w:lang w:val="en-US"/>
                    </w:rPr>
                    <m:t>n7</m:t>
                  </m:r>
                </m:e>
              </m:d>
            </m:num>
            <m:den>
              <m:r>
                <m:rPr>
                  <m:sty m:val="p"/>
                </m:rPr>
                <w:rPr>
                  <w:rFonts w:ascii="Cambria Math" w:eastAsia="Calibri" w:hAnsi="Cambria Math" w:cs="Times New Roman"/>
                  <w:color w:val="000000"/>
                  <w:sz w:val="22"/>
                  <w:lang w:val="en-US"/>
                </w:rPr>
                <m:t xml:space="preserve">7 </m:t>
              </m:r>
              <m:r>
                <m:rPr>
                  <m:scr m:val="sans-serif"/>
                  <m:sty m:val="p"/>
                </m:rPr>
                <w:rPr>
                  <w:rFonts w:ascii="Cambria Math" w:eastAsia="Calibri" w:hAnsi="Cambria Math" w:cs="Times New Roman"/>
                  <w:color w:val="000000"/>
                  <w:sz w:val="22"/>
                  <w:lang w:val="en-US"/>
                </w:rPr>
                <m:t>x</m:t>
              </m:r>
              <m:r>
                <m:rPr>
                  <m:sty m:val="p"/>
                </m:rPr>
                <w:rPr>
                  <w:rFonts w:ascii="Cambria Math" w:eastAsia="Calibri" w:hAnsi="Cambria Math" w:cs="Times New Roman"/>
                  <w:color w:val="000000"/>
                  <w:sz w:val="22"/>
                  <w:lang w:val="en-US"/>
                </w:rPr>
                <m:t xml:space="preserve"> (n1+n2+n3+n4+n5+n6+n7)</m:t>
              </m:r>
            </m:den>
          </m:f>
          <m:r>
            <m:rPr>
              <m:scr m:val="sans-serif"/>
              <m:sty m:val="p"/>
            </m:rPr>
            <w:rPr>
              <w:rFonts w:ascii="Cambria Math" w:eastAsia="Calibri" w:hAnsi="Cambria Math" w:cs="Times New Roman"/>
              <w:color w:val="000000"/>
              <w:sz w:val="22"/>
              <w:lang w:val="en-US"/>
            </w:rPr>
            <m:t xml:space="preserve"> x</m:t>
          </m:r>
          <m:r>
            <m:rPr>
              <m:sty m:val="p"/>
            </m:rPr>
            <w:rPr>
              <w:rFonts w:ascii="Cambria Math" w:eastAsia="Calibri" w:hAnsi="Cambria Math" w:cs="Times New Roman"/>
              <w:color w:val="000000"/>
              <w:sz w:val="22"/>
              <w:lang w:val="en-US"/>
            </w:rPr>
            <m:t xml:space="preserve"> 100</m:t>
          </m:r>
        </m:oMath>
      </m:oMathPara>
    </w:p>
    <w:p w14:paraId="515A6E09" w14:textId="77777777" w:rsidR="00811369" w:rsidRPr="00811369" w:rsidRDefault="00811369" w:rsidP="00E0051F">
      <w:pPr>
        <w:autoSpaceDE w:val="0"/>
        <w:autoSpaceDN w:val="0"/>
        <w:adjustRightInd w:val="0"/>
        <w:spacing w:after="0"/>
        <w:rPr>
          <w:rFonts w:eastAsia="Calibri" w:cs="Times New Roman"/>
          <w:color w:val="000000"/>
          <w:sz w:val="22"/>
          <w:lang w:val="en-US"/>
        </w:rPr>
      </w:pPr>
    </w:p>
    <w:p w14:paraId="5C2D4582" w14:textId="5239468F" w:rsidR="00A278B9" w:rsidRPr="00855E4A" w:rsidRDefault="00855E4A" w:rsidP="00175DCC">
      <w:pPr>
        <w:spacing w:after="0"/>
        <w:ind w:firstLine="720"/>
        <w:rPr>
          <w:rFonts w:eastAsia="Calibri" w:cs="Times New Roman"/>
        </w:rPr>
      </w:pPr>
      <w:r w:rsidRPr="00855E4A">
        <w:rPr>
          <w:rFonts w:eastAsia="Calibri" w:cs="Times New Roman"/>
        </w:rPr>
        <w:t>Where RII (%) is the percentage of Relative Importance Index of each attribute for each group of respondents, and n1, n2, n3, n4, n5, n6, and n7 are the number of each grouped respondents who selected: “1” representing strongly disagree, “2” representing disagree, “3” representing somewhat disagree, “4” representing neither disagree or agree, “5” representing somewhat agree, “6” representing agree, and “7” representing strongly agree.</w:t>
      </w:r>
    </w:p>
    <w:p w14:paraId="029E1738" w14:textId="4FCBEF8B" w:rsidR="0041289E" w:rsidRDefault="00A9384E" w:rsidP="00175DCC">
      <w:pPr>
        <w:spacing w:after="0"/>
        <w:ind w:firstLine="720"/>
        <w:rPr>
          <w:rFonts w:eastAsia="Calibri" w:cs="Times New Roman"/>
          <w:szCs w:val="24"/>
          <w:lang w:val="ms-MY" w:eastAsia="ms-MY"/>
        </w:rPr>
      </w:pPr>
      <w:r>
        <w:t>As for the q</w:t>
      </w:r>
      <w:r w:rsidR="00AC33C5" w:rsidRPr="00800656">
        <w:t>ualitative data</w:t>
      </w:r>
      <w:r>
        <w:t>, the researcher</w:t>
      </w:r>
      <w:r w:rsidR="00AC33C5" w:rsidRPr="00800656">
        <w:t xml:space="preserve"> interview</w:t>
      </w:r>
      <w:r>
        <w:t>ed</w:t>
      </w:r>
      <w:r w:rsidR="00AC33C5" w:rsidRPr="00800656">
        <w:t xml:space="preserve"> </w:t>
      </w:r>
      <w:r w:rsidR="00C509F7">
        <w:t>14</w:t>
      </w:r>
      <w:r w:rsidR="00AC33C5" w:rsidRPr="00800656">
        <w:t xml:space="preserve"> identified respondents (young people) to have in-depth understanding on the issues.</w:t>
      </w:r>
      <w:r w:rsidR="0041289E" w:rsidRPr="0041289E">
        <w:rPr>
          <w:rFonts w:eastAsia="Calibri" w:cs="Times New Roman"/>
          <w:szCs w:val="24"/>
          <w:lang w:val="ms-MY" w:eastAsia="ms-MY"/>
        </w:rPr>
        <w:t xml:space="preserve"> </w:t>
      </w:r>
      <w:r w:rsidR="0041289E" w:rsidRPr="00D97D36">
        <w:rPr>
          <w:rFonts w:eastAsia="Calibri" w:cs="Times New Roman"/>
          <w:szCs w:val="24"/>
          <w:lang w:val="ms-MY" w:eastAsia="ms-MY"/>
        </w:rPr>
        <w:t>The respondents were selected based on the pre-determined criteria, similar to the respondent</w:t>
      </w:r>
      <w:r w:rsidR="0041289E">
        <w:rPr>
          <w:rFonts w:eastAsia="Calibri" w:cs="Times New Roman"/>
          <w:szCs w:val="24"/>
          <w:lang w:val="ms-MY" w:eastAsia="ms-MY"/>
        </w:rPr>
        <w:t xml:space="preserve">s for the questionnaire survey. </w:t>
      </w:r>
      <w:r w:rsidR="0041289E" w:rsidRPr="00D97D36">
        <w:rPr>
          <w:rFonts w:eastAsia="Calibri" w:cs="Times New Roman"/>
          <w:szCs w:val="24"/>
          <w:lang w:val="ms-MY" w:eastAsia="ms-MY"/>
        </w:rPr>
        <w:t>This session involved a discu</w:t>
      </w:r>
      <w:r w:rsidR="0041289E">
        <w:rPr>
          <w:rFonts w:eastAsia="Calibri" w:cs="Times New Roman"/>
          <w:szCs w:val="24"/>
          <w:lang w:val="ms-MY" w:eastAsia="ms-MY"/>
        </w:rPr>
        <w:t>ssion between the participants</w:t>
      </w:r>
      <w:r w:rsidR="0041289E" w:rsidRPr="00D97D36">
        <w:rPr>
          <w:rFonts w:eastAsia="Calibri" w:cs="Times New Roman"/>
          <w:szCs w:val="24"/>
          <w:lang w:val="ms-MY" w:eastAsia="ms-MY"/>
        </w:rPr>
        <w:t xml:space="preserve"> on the issues covered with the researcher acting as a facilitator to guide the session.</w:t>
      </w:r>
      <w:r w:rsidR="0041289E" w:rsidRPr="001D5146">
        <w:rPr>
          <w:rFonts w:eastAsia="Calibri" w:cs="Times New Roman"/>
          <w:szCs w:val="24"/>
          <w:lang w:val="ms-MY" w:eastAsia="ms-MY"/>
        </w:rPr>
        <w:t xml:space="preserve"> </w:t>
      </w:r>
      <w:r w:rsidR="0041289E">
        <w:rPr>
          <w:rFonts w:eastAsia="Calibri" w:cs="Times New Roman"/>
          <w:szCs w:val="24"/>
          <w:lang w:val="ms-MY" w:eastAsia="ms-MY"/>
        </w:rPr>
        <w:t xml:space="preserve">The interview took place between October 2016 until </w:t>
      </w:r>
      <w:r w:rsidR="0041289E">
        <w:rPr>
          <w:rFonts w:eastAsia="Calibri" w:cs="Times New Roman"/>
          <w:szCs w:val="24"/>
          <w:lang w:val="ms-MY" w:eastAsia="ms-MY"/>
        </w:rPr>
        <w:lastRenderedPageBreak/>
        <w:t>December 2016. The discussion/</w:t>
      </w:r>
      <w:r w:rsidR="0041289E" w:rsidRPr="00D97D36">
        <w:rPr>
          <w:rFonts w:eastAsia="Calibri" w:cs="Times New Roman"/>
          <w:szCs w:val="24"/>
          <w:lang w:val="ms-MY" w:eastAsia="ms-MY"/>
        </w:rPr>
        <w:t xml:space="preserve">interview was audiotaped and recorded for the transcription purpose. </w:t>
      </w:r>
      <w:r w:rsidR="00A226BE">
        <w:rPr>
          <w:rFonts w:eastAsia="Calibri" w:cs="Times New Roman"/>
          <w:szCs w:val="24"/>
          <w:lang w:val="ms-MY" w:eastAsia="ms-MY"/>
        </w:rPr>
        <w:t>For the analysis</w:t>
      </w:r>
      <w:r w:rsidR="00A226BE" w:rsidRPr="00D80B7A">
        <w:rPr>
          <w:rFonts w:eastAsia="Calibri" w:cs="Times New Roman"/>
          <w:szCs w:val="24"/>
          <w:lang w:val="ms-MY" w:eastAsia="ms-MY"/>
        </w:rPr>
        <w:t xml:space="preserve">, </w:t>
      </w:r>
      <w:r w:rsidR="00A226BE">
        <w:rPr>
          <w:rFonts w:eastAsia="Calibri" w:cs="Times New Roman"/>
          <w:szCs w:val="24"/>
          <w:lang w:val="ms-MY" w:eastAsia="ms-MY"/>
        </w:rPr>
        <w:t xml:space="preserve">the researcher </w:t>
      </w:r>
      <w:r w:rsidR="00A226BE" w:rsidRPr="00D80B7A">
        <w:rPr>
          <w:rFonts w:eastAsia="Calibri" w:cs="Times New Roman"/>
          <w:szCs w:val="24"/>
          <w:lang w:val="ms-MY" w:eastAsia="ms-MY"/>
        </w:rPr>
        <w:t xml:space="preserve">tape-recorded </w:t>
      </w:r>
      <w:r w:rsidR="00A226BE">
        <w:rPr>
          <w:rFonts w:eastAsia="Calibri" w:cs="Times New Roman"/>
          <w:szCs w:val="24"/>
          <w:lang w:val="ms-MY" w:eastAsia="ms-MY"/>
        </w:rPr>
        <w:t>the data from the interview session with the key-informants, coded, and analysed the transcribed data with thematic analysis from the accumulated manual codings</w:t>
      </w:r>
      <w:r w:rsidR="00A226BE" w:rsidRPr="00D80B7A">
        <w:rPr>
          <w:rFonts w:eastAsia="Calibri" w:cs="Times New Roman"/>
          <w:szCs w:val="24"/>
          <w:lang w:val="ms-MY" w:eastAsia="ms-MY"/>
        </w:rPr>
        <w:t xml:space="preserve">, which involved a </w:t>
      </w:r>
      <w:r w:rsidR="00A226BE" w:rsidRPr="00D80B7A">
        <w:rPr>
          <w:rFonts w:eastAsia="Calibri" w:cs="Times New Roman"/>
          <w:szCs w:val="24"/>
          <w:lang w:eastAsia="ms-MY"/>
        </w:rPr>
        <w:t xml:space="preserve">procedure of classification, summarisation and tabulation </w:t>
      </w:r>
      <w:r w:rsidR="00A226BE">
        <w:rPr>
          <w:rFonts w:eastAsia="Calibri" w:cs="Times New Roman"/>
          <w:szCs w:val="24"/>
          <w:lang w:val="ms-MY" w:eastAsia="ms-MY"/>
        </w:rPr>
        <w:t>based on thematic analysis</w:t>
      </w:r>
      <w:r w:rsidR="00A226BE" w:rsidRPr="00D709C5">
        <w:rPr>
          <w:rFonts w:eastAsia="Calibri" w:cs="Times New Roman"/>
          <w:szCs w:val="24"/>
          <w:lang w:val="ms-MY" w:eastAsia="ms-MY"/>
        </w:rPr>
        <w:t>. The result of the interview triangulated the findings from the survey (quantitative method).</w:t>
      </w:r>
    </w:p>
    <w:p w14:paraId="14C739BB" w14:textId="57B51030" w:rsidR="00E8635F" w:rsidRPr="00DF22A7" w:rsidRDefault="00B8136F" w:rsidP="00E0051F">
      <w:pPr>
        <w:pStyle w:val="Heading2"/>
        <w:rPr>
          <w:highlight w:val="green"/>
        </w:rPr>
      </w:pPr>
      <w:r w:rsidRPr="00B842AD">
        <w:t>Discussion and Results</w:t>
      </w:r>
    </w:p>
    <w:p w14:paraId="5DEBF54C" w14:textId="5A0FDF6C" w:rsidR="00E8635F" w:rsidRDefault="006B2CAF" w:rsidP="004E63A5">
      <w:pPr>
        <w:spacing w:after="0"/>
      </w:pPr>
      <w:r>
        <w:t xml:space="preserve">This section </w:t>
      </w:r>
      <w:r w:rsidR="0088008E">
        <w:t>begins the explanation</w:t>
      </w:r>
      <w:r>
        <w:t xml:space="preserve"> on the profiles of the respondents</w:t>
      </w:r>
      <w:r w:rsidR="0088008E">
        <w:t xml:space="preserve"> involved in this study. </w:t>
      </w:r>
      <w:r w:rsidR="000E464B">
        <w:t xml:space="preserve">Then, it </w:t>
      </w:r>
      <w:r w:rsidR="000E464B" w:rsidRPr="00BA12CE">
        <w:t>discusses in detail the challenges faced by young people in their pursuit of adequate housing, from the perspective of homeowners</w:t>
      </w:r>
      <w:r w:rsidR="005A6BEF">
        <w:t xml:space="preserve">. </w:t>
      </w:r>
      <w:r w:rsidR="000E464B" w:rsidRPr="00BA12CE">
        <w:t xml:space="preserve">The empirical evidence </w:t>
      </w:r>
      <w:r w:rsidR="000E464B">
        <w:t xml:space="preserve">was </w:t>
      </w:r>
      <w:r w:rsidR="000E464B" w:rsidRPr="00BA12CE">
        <w:t xml:space="preserve">derived from the feedback gathered by asking the respondents several questions related to the challenges. The challenges </w:t>
      </w:r>
      <w:r w:rsidR="00D31ABC">
        <w:t>will be discussed from two main</w:t>
      </w:r>
      <w:r w:rsidR="000E464B" w:rsidRPr="00BA12CE">
        <w:t xml:space="preserve"> elements, consist</w:t>
      </w:r>
      <w:r w:rsidR="000E464B">
        <w:t>ing</w:t>
      </w:r>
      <w:r w:rsidR="00D31ABC">
        <w:t xml:space="preserve"> of structural and </w:t>
      </w:r>
      <w:r w:rsidR="000E464B" w:rsidRPr="00BA12CE">
        <w:t>economic</w:t>
      </w:r>
      <w:r w:rsidR="00D31ABC">
        <w:t xml:space="preserve">. </w:t>
      </w:r>
    </w:p>
    <w:p w14:paraId="6EF59ED4" w14:textId="5FDB224D" w:rsidR="00F20D52" w:rsidRPr="00F20D52" w:rsidRDefault="00745F2B" w:rsidP="004E63A5">
      <w:pPr>
        <w:pStyle w:val="Heading3"/>
      </w:pPr>
      <w:r w:rsidRPr="00745F2B">
        <w:t>Profile of the respondents</w:t>
      </w:r>
    </w:p>
    <w:p w14:paraId="68D093A5" w14:textId="0B9AC9C1" w:rsidR="00D505C2" w:rsidRDefault="00D505C2" w:rsidP="004E63A5">
      <w:pPr>
        <w:spacing w:after="0"/>
      </w:pPr>
      <w:r w:rsidRPr="00FC7356">
        <w:t>A total of 396 young people who live</w:t>
      </w:r>
      <w:r>
        <w:t>d</w:t>
      </w:r>
      <w:r w:rsidRPr="00FC7356">
        <w:t xml:space="preserve"> and work</w:t>
      </w:r>
      <w:r>
        <w:t>ed</w:t>
      </w:r>
      <w:r w:rsidR="00B74898">
        <w:t xml:space="preserve"> in Greater Kuala Lumpur, Malaysia</w:t>
      </w:r>
      <w:r w:rsidRPr="00FC7356">
        <w:t xml:space="preserve"> </w:t>
      </w:r>
      <w:r>
        <w:t xml:space="preserve">were </w:t>
      </w:r>
      <w:r w:rsidRPr="00FC7356">
        <w:t xml:space="preserve">involved in this survey. The respondents were identified based on their age category, starting from 20 to 39 years old. On average, the age of the </w:t>
      </w:r>
      <w:r>
        <w:t>respondents</w:t>
      </w:r>
      <w:r w:rsidRPr="00FC7356">
        <w:t xml:space="preserve"> who participated in this study </w:t>
      </w:r>
      <w:r>
        <w:t>was</w:t>
      </w:r>
      <w:r w:rsidRPr="00FC7356">
        <w:t xml:space="preserve"> 28.62 years old (SD = 4.36). Based on their age category, </w:t>
      </w:r>
      <w:r>
        <w:t>the majority (75 percent) of the respondents were aged between 25 to 34</w:t>
      </w:r>
      <w:r w:rsidRPr="00FC7356">
        <w:t xml:space="preserve"> yea</w:t>
      </w:r>
      <w:r w:rsidR="00B74898">
        <w:t xml:space="preserve">rs old. </w:t>
      </w:r>
      <w:r w:rsidRPr="00FC7356">
        <w:t xml:space="preserve">There </w:t>
      </w:r>
      <w:r>
        <w:t>was</w:t>
      </w:r>
      <w:r w:rsidRPr="00FC7356">
        <w:t xml:space="preserve"> only </w:t>
      </w:r>
      <w:r>
        <w:t xml:space="preserve">a </w:t>
      </w:r>
      <w:r w:rsidRPr="00FC7356">
        <w:t xml:space="preserve">small number (10.6 percent) of respondents aged between 20 to 24 years. Thus, </w:t>
      </w:r>
      <w:r>
        <w:t>the researchers</w:t>
      </w:r>
      <w:r w:rsidRPr="00FC7356">
        <w:t xml:space="preserve"> can conclude that </w:t>
      </w:r>
      <w:r>
        <w:t xml:space="preserve">the </w:t>
      </w:r>
      <w:r w:rsidRPr="00FC7356">
        <w:t xml:space="preserve">majority of them </w:t>
      </w:r>
      <w:r>
        <w:t>were</w:t>
      </w:r>
      <w:r w:rsidRPr="00FC7356">
        <w:t xml:space="preserve"> at the stage of building their li</w:t>
      </w:r>
      <w:r>
        <w:t>ves</w:t>
      </w:r>
      <w:r w:rsidRPr="00FC7356">
        <w:t xml:space="preserve"> by having permanent jobs, </w:t>
      </w:r>
      <w:r>
        <w:t xml:space="preserve">a </w:t>
      </w:r>
      <w:r w:rsidRPr="00FC7356">
        <w:t xml:space="preserve">hunger for achievement, </w:t>
      </w:r>
      <w:r>
        <w:t xml:space="preserve">and </w:t>
      </w:r>
      <w:r w:rsidRPr="00FC7356">
        <w:t xml:space="preserve">in the transition to adulthood, </w:t>
      </w:r>
      <w:r>
        <w:t xml:space="preserve">and </w:t>
      </w:r>
      <w:r w:rsidRPr="00FC7356">
        <w:t>thus able to comprehend the needs of the questionnaire.</w:t>
      </w:r>
    </w:p>
    <w:p w14:paraId="073A22E1" w14:textId="27591006" w:rsidR="00D505C2" w:rsidRDefault="005A6BEF" w:rsidP="005A6BEF">
      <w:pPr>
        <w:spacing w:after="0"/>
        <w:ind w:firstLine="720"/>
      </w:pPr>
      <w:r>
        <w:t>T</w:t>
      </w:r>
      <w:r w:rsidR="00D505C2" w:rsidRPr="00B33027">
        <w:t>he transition to independent living among young people takes place in line with the demand of the job, family formation, as a symbol of maturity, entry to homeownership</w:t>
      </w:r>
      <w:r w:rsidR="00D505C2">
        <w:t>,</w:t>
      </w:r>
      <w:r w:rsidR="00D505C2" w:rsidRPr="00B33027">
        <w:t xml:space="preserve"> and also for educational reason</w:t>
      </w:r>
      <w:r w:rsidR="00D505C2">
        <w:t>s</w:t>
      </w:r>
      <w:r w:rsidR="00D505C2" w:rsidRPr="00B33027">
        <w:t xml:space="preserve"> (</w:t>
      </w:r>
      <w:proofErr w:type="spellStart"/>
      <w:r w:rsidR="005B1F7C" w:rsidRPr="00B33027">
        <w:t>Filandri</w:t>
      </w:r>
      <w:proofErr w:type="spellEnd"/>
      <w:r w:rsidR="005B1F7C" w:rsidRPr="00B33027">
        <w:t xml:space="preserve"> &amp; </w:t>
      </w:r>
      <w:proofErr w:type="spellStart"/>
      <w:r w:rsidR="005B1F7C" w:rsidRPr="00B33027">
        <w:t>Bertolini</w:t>
      </w:r>
      <w:proofErr w:type="spellEnd"/>
      <w:r w:rsidR="005B1F7C" w:rsidRPr="00B33027">
        <w:t xml:space="preserve">, 2016; </w:t>
      </w:r>
      <w:proofErr w:type="spellStart"/>
      <w:r w:rsidR="005B1F7C" w:rsidRPr="000E348B">
        <w:t>Ariffian</w:t>
      </w:r>
      <w:proofErr w:type="spellEnd"/>
      <w:r w:rsidR="005B1F7C" w:rsidRPr="000E348B">
        <w:t xml:space="preserve">, </w:t>
      </w:r>
      <w:proofErr w:type="spellStart"/>
      <w:r w:rsidR="005B1F7C" w:rsidRPr="000E348B">
        <w:t>Anuar</w:t>
      </w:r>
      <w:proofErr w:type="spellEnd"/>
      <w:r w:rsidR="005B1F7C">
        <w:t>,</w:t>
      </w:r>
      <w:r w:rsidR="005B1F7C" w:rsidRPr="000E348B">
        <w:t xml:space="preserve"> &amp; </w:t>
      </w:r>
      <w:proofErr w:type="spellStart"/>
      <w:r w:rsidR="005B1F7C" w:rsidRPr="000E348B">
        <w:t>Zarin</w:t>
      </w:r>
      <w:proofErr w:type="spellEnd"/>
      <w:r w:rsidR="005B1F7C" w:rsidRPr="000E348B">
        <w:t>, 2013; Visser, Bolt</w:t>
      </w:r>
      <w:r w:rsidR="005B1F7C">
        <w:t xml:space="preserve">, &amp; </w:t>
      </w:r>
      <w:proofErr w:type="spellStart"/>
      <w:r w:rsidR="005B1F7C">
        <w:t>Kempen</w:t>
      </w:r>
      <w:proofErr w:type="spellEnd"/>
      <w:r w:rsidR="005B1F7C">
        <w:t xml:space="preserve">, 2013; </w:t>
      </w:r>
      <w:r w:rsidR="00D505C2" w:rsidRPr="00B33027">
        <w:t xml:space="preserve">Clark &amp; Mulder, 2000; </w:t>
      </w:r>
      <w:r w:rsidR="00D505C2">
        <w:t xml:space="preserve">and </w:t>
      </w:r>
      <w:proofErr w:type="spellStart"/>
      <w:r w:rsidR="00D505C2" w:rsidRPr="00B33027">
        <w:t>Lieberg</w:t>
      </w:r>
      <w:proofErr w:type="spellEnd"/>
      <w:r w:rsidR="00D505C2" w:rsidRPr="00B33027">
        <w:t xml:space="preserve">, 2013). </w:t>
      </w:r>
      <w:r w:rsidR="00D505C2">
        <w:t xml:space="preserve">At this age, </w:t>
      </w:r>
      <w:r w:rsidR="00D505C2" w:rsidRPr="00B33027">
        <w:t>young people leave their parental home and seek independent living for educational purpose</w:t>
      </w:r>
      <w:r w:rsidR="00D505C2">
        <w:t>s</w:t>
      </w:r>
      <w:r w:rsidR="00D505C2" w:rsidRPr="00B33027">
        <w:t>, social class, employment matter</w:t>
      </w:r>
      <w:r w:rsidR="00D505C2">
        <w:t>s</w:t>
      </w:r>
      <w:r w:rsidR="00D505C2" w:rsidRPr="00B33027">
        <w:t>, family structure</w:t>
      </w:r>
      <w:r w:rsidR="00D505C2">
        <w:t>,</w:t>
      </w:r>
      <w:r w:rsidR="00D505C2" w:rsidRPr="00B33027">
        <w:t xml:space="preserve"> </w:t>
      </w:r>
      <w:r w:rsidR="00D505C2">
        <w:t>and also searching for housing (</w:t>
      </w:r>
      <w:r w:rsidR="00D505C2" w:rsidRPr="00B33027">
        <w:t xml:space="preserve">Clara </w:t>
      </w:r>
      <w:r w:rsidR="00D505C2">
        <w:t>&amp; David, 2005). M</w:t>
      </w:r>
      <w:r w:rsidR="00D505C2" w:rsidRPr="00B33027">
        <w:t>ost of them are first-time home buyers and in the process of building their lives by having a permanent job, forming a family</w:t>
      </w:r>
      <w:r w:rsidR="00D505C2">
        <w:t>,</w:t>
      </w:r>
      <w:r w:rsidR="00D505C2" w:rsidRPr="00B33027">
        <w:t xml:space="preserve"> and living a quality life, which is often associated with having a decent and an appropriate home (Nor </w:t>
      </w:r>
      <w:proofErr w:type="spellStart"/>
      <w:r w:rsidR="00D505C2" w:rsidRPr="00B33027">
        <w:t>Hartini</w:t>
      </w:r>
      <w:proofErr w:type="spellEnd"/>
      <w:r w:rsidR="00D505C2" w:rsidRPr="00B33027">
        <w:t>, 2014</w:t>
      </w:r>
      <w:r w:rsidR="00D505C2">
        <w:t xml:space="preserve">; </w:t>
      </w:r>
      <w:proofErr w:type="spellStart"/>
      <w:r w:rsidR="00D505C2">
        <w:t>Zyed</w:t>
      </w:r>
      <w:proofErr w:type="spellEnd"/>
      <w:r w:rsidR="00D505C2">
        <w:t>, 2014; and Wilcox, 2003</w:t>
      </w:r>
      <w:r w:rsidR="00D505C2" w:rsidRPr="00B33027">
        <w:t>).</w:t>
      </w:r>
    </w:p>
    <w:p w14:paraId="34E67B09" w14:textId="10C08ECB" w:rsidR="00D505C2" w:rsidRDefault="0002345B" w:rsidP="004E63A5">
      <w:pPr>
        <w:spacing w:after="0"/>
        <w:ind w:firstLine="720"/>
      </w:pPr>
      <w:r>
        <w:lastRenderedPageBreak/>
        <w:t>Table 1</w:t>
      </w:r>
      <w:r w:rsidR="00D505C2" w:rsidRPr="000E348B">
        <w:t xml:space="preserve"> provides a summary of the socio-demographic profiles of the respondents. </w:t>
      </w:r>
      <w:r w:rsidR="00D505C2">
        <w:t xml:space="preserve">Females dominated the population of this study at </w:t>
      </w:r>
      <w:r w:rsidR="00D505C2" w:rsidRPr="000E348B">
        <w:t>51.3 percent</w:t>
      </w:r>
      <w:r w:rsidR="00D505C2">
        <w:t>,</w:t>
      </w:r>
      <w:r w:rsidR="00D505C2" w:rsidRPr="000E348B">
        <w:t xml:space="preserve"> and </w:t>
      </w:r>
      <w:r w:rsidR="00D505C2">
        <w:t>the remaining (48.7 percent) were</w:t>
      </w:r>
      <w:r w:rsidR="00D505C2" w:rsidRPr="000E348B">
        <w:t xml:space="preserve"> male.  The distribution of gender </w:t>
      </w:r>
      <w:r w:rsidR="00D505C2">
        <w:t>was</w:t>
      </w:r>
      <w:r w:rsidR="00D505C2" w:rsidRPr="000E348B">
        <w:t xml:space="preserve"> compa</w:t>
      </w:r>
      <w:r w:rsidR="00D505C2">
        <w:t>ratively balanced between them. Concerning</w:t>
      </w:r>
      <w:r w:rsidR="00D505C2" w:rsidRPr="000E348B">
        <w:t xml:space="preserve"> ethnicity, </w:t>
      </w:r>
      <w:r w:rsidR="00D505C2">
        <w:t xml:space="preserve">the </w:t>
      </w:r>
      <w:r w:rsidR="00D505C2" w:rsidRPr="000E348B">
        <w:t xml:space="preserve">respondents </w:t>
      </w:r>
      <w:r w:rsidR="00D505C2">
        <w:t xml:space="preserve">were </w:t>
      </w:r>
      <w:r w:rsidR="00D505C2" w:rsidRPr="000E348B">
        <w:t>predominant</w:t>
      </w:r>
      <w:r w:rsidR="00D505C2">
        <w:t>ly</w:t>
      </w:r>
      <w:r w:rsidR="00D505C2" w:rsidRPr="000E348B">
        <w:t xml:space="preserve"> </w:t>
      </w:r>
      <w:r w:rsidR="00D505C2">
        <w:t>Malays at</w:t>
      </w:r>
      <w:r w:rsidR="00D505C2" w:rsidRPr="000E348B">
        <w:t xml:space="preserve"> 63.9 percent, followed by 21.5 percent Chinese</w:t>
      </w:r>
      <w:r w:rsidR="00D505C2">
        <w:t xml:space="preserve"> and 12.4 percent Indians. </w:t>
      </w:r>
      <w:r w:rsidR="00D505C2" w:rsidRPr="000E348B">
        <w:t xml:space="preserve">Malays </w:t>
      </w:r>
      <w:r w:rsidR="00D505C2">
        <w:t>were</w:t>
      </w:r>
      <w:r w:rsidR="00D505C2" w:rsidRPr="000E348B">
        <w:t xml:space="preserve"> found to be </w:t>
      </w:r>
      <w:r w:rsidR="00D505C2">
        <w:t>the</w:t>
      </w:r>
      <w:r w:rsidR="00D505C2" w:rsidRPr="000E348B">
        <w:t xml:space="preserve"> majority of the respondent</w:t>
      </w:r>
      <w:r w:rsidR="00D505C2">
        <w:t>s</w:t>
      </w:r>
      <w:r w:rsidR="00D505C2" w:rsidRPr="000E348B">
        <w:t xml:space="preserve"> because they are the dominant ethnic group in this country.  </w:t>
      </w:r>
    </w:p>
    <w:p w14:paraId="5B6DA9C6" w14:textId="4012C5C6" w:rsidR="00D505C2" w:rsidRDefault="00D505C2" w:rsidP="004E63A5">
      <w:pPr>
        <w:spacing w:after="0"/>
        <w:ind w:firstLine="720"/>
        <w:rPr>
          <w:lang w:val="en-US"/>
        </w:rPr>
      </w:pPr>
      <w:r w:rsidRPr="004B6035">
        <w:rPr>
          <w:lang w:val="en-US"/>
        </w:rPr>
        <w:t>There are three main educational levels in this country; which are primary, secondary, and tertiary education (DoS, 2016). The majority of the respondents in this study received tertiary educational level which accounted for 91.7 percent. Thus, they were well-educated and occupied between the low and middle-income group in this country. This is because most of the middle-class jobs require a Bachelor Degree or at least a Diploma or its equivalent (</w:t>
      </w:r>
      <w:r w:rsidR="00B52F01">
        <w:t xml:space="preserve">Sander, Packard, </w:t>
      </w:r>
      <w:proofErr w:type="spellStart"/>
      <w:r w:rsidR="00B52F01">
        <w:t>Purnamasari</w:t>
      </w:r>
      <w:proofErr w:type="spellEnd"/>
      <w:r w:rsidR="00B52F01">
        <w:t xml:space="preserve">, Testaverde, Wacker, Yap &amp; </w:t>
      </w:r>
      <w:proofErr w:type="spellStart"/>
      <w:r w:rsidR="00B52F01">
        <w:t>Yoong</w:t>
      </w:r>
      <w:proofErr w:type="spellEnd"/>
      <w:r w:rsidR="00B52F01">
        <w:t>, 2014</w:t>
      </w:r>
      <w:r w:rsidRPr="004B6035">
        <w:rPr>
          <w:lang w:val="en-US"/>
        </w:rPr>
        <w:t xml:space="preserve">). </w:t>
      </w:r>
    </w:p>
    <w:p w14:paraId="2B505650" w14:textId="5068EFF9" w:rsidR="00D505C2" w:rsidRDefault="00D505C2" w:rsidP="00E0051F">
      <w:pPr>
        <w:ind w:firstLine="720"/>
        <w:rPr>
          <w:lang w:val="en-US"/>
        </w:rPr>
      </w:pPr>
      <w:r>
        <w:rPr>
          <w:lang w:val="en-US"/>
        </w:rPr>
        <w:t xml:space="preserve">As for the marital status, the </w:t>
      </w:r>
      <w:r w:rsidRPr="000860BF">
        <w:rPr>
          <w:lang w:val="en-US"/>
        </w:rPr>
        <w:t>majority</w:t>
      </w:r>
      <w:r>
        <w:rPr>
          <w:lang w:val="en-US"/>
        </w:rPr>
        <w:t xml:space="preserve"> (66.9%)</w:t>
      </w:r>
      <w:r w:rsidRPr="000860BF">
        <w:rPr>
          <w:lang w:val="en-US"/>
        </w:rPr>
        <w:t xml:space="preserve"> of the respondents </w:t>
      </w:r>
      <w:r>
        <w:rPr>
          <w:lang w:val="en-US"/>
        </w:rPr>
        <w:t>participating</w:t>
      </w:r>
      <w:r w:rsidRPr="000860BF">
        <w:rPr>
          <w:lang w:val="en-US"/>
        </w:rPr>
        <w:t xml:space="preserve"> in this study </w:t>
      </w:r>
      <w:r>
        <w:rPr>
          <w:lang w:val="en-US"/>
        </w:rPr>
        <w:t xml:space="preserve">were single, whilst 30.8 percent were married. </w:t>
      </w:r>
      <w:r w:rsidR="0002345B">
        <w:rPr>
          <w:lang w:val="en-US"/>
        </w:rPr>
        <w:t>Hence, we</w:t>
      </w:r>
      <w:r>
        <w:rPr>
          <w:lang w:val="en-US"/>
        </w:rPr>
        <w:t xml:space="preserve"> can say that the majority of the respondents stayed single and delayed their marriage possibly due to unstable financial conditions and the unaffordable housing market. Amongst the married respondents, the findings show that </w:t>
      </w:r>
      <w:r w:rsidRPr="000860BF">
        <w:rPr>
          <w:lang w:val="en-US"/>
        </w:rPr>
        <w:t xml:space="preserve">on average, the household size </w:t>
      </w:r>
      <w:r>
        <w:rPr>
          <w:lang w:val="en-US"/>
        </w:rPr>
        <w:t>was 3.43 persons (SD = 1.13), with a minimum of 2 and maximum of 7 persons per household. The data is relevant to the fact that normally young people aged between 20 to 39 years old have 1 to 5 children added to their family members.</w:t>
      </w:r>
    </w:p>
    <w:p w14:paraId="758A1381" w14:textId="7587BD22" w:rsidR="00566855" w:rsidRDefault="00566855" w:rsidP="00E0051F">
      <w:pPr>
        <w:ind w:firstLine="720"/>
        <w:rPr>
          <w:lang w:eastAsia="ms-MY"/>
        </w:rPr>
      </w:pPr>
      <w:r>
        <w:rPr>
          <w:lang w:val="en-US"/>
        </w:rPr>
        <w:t xml:space="preserve">Concerning their current living arrangement, the result shows that </w:t>
      </w:r>
      <w:r>
        <w:rPr>
          <w:lang w:eastAsia="ms-MY"/>
        </w:rPr>
        <w:t>the majority (75.6</w:t>
      </w:r>
      <w:r w:rsidRPr="009F6D74">
        <w:rPr>
          <w:lang w:eastAsia="ms-MY"/>
        </w:rPr>
        <w:t xml:space="preserve"> percent</w:t>
      </w:r>
      <w:r>
        <w:rPr>
          <w:lang w:eastAsia="ms-MY"/>
        </w:rPr>
        <w:t>)</w:t>
      </w:r>
      <w:r w:rsidRPr="009F6D74">
        <w:rPr>
          <w:lang w:eastAsia="ms-MY"/>
        </w:rPr>
        <w:t xml:space="preserve"> </w:t>
      </w:r>
      <w:r>
        <w:rPr>
          <w:lang w:eastAsia="ms-MY"/>
        </w:rPr>
        <w:t xml:space="preserve">of the respondents were non-homeowners as they were currently renting their house and </w:t>
      </w:r>
      <w:r w:rsidRPr="009F6D74">
        <w:rPr>
          <w:lang w:eastAsia="ms-MY"/>
        </w:rPr>
        <w:t>still living with th</w:t>
      </w:r>
      <w:r>
        <w:rPr>
          <w:lang w:eastAsia="ms-MY"/>
        </w:rPr>
        <w:t xml:space="preserve">eir parents or other relatives. </w:t>
      </w:r>
      <w:r w:rsidR="00C25891">
        <w:rPr>
          <w:lang w:eastAsia="ms-MY"/>
        </w:rPr>
        <w:t>O</w:t>
      </w:r>
      <w:r>
        <w:rPr>
          <w:lang w:eastAsia="ms-MY"/>
        </w:rPr>
        <w:t xml:space="preserve">nly </w:t>
      </w:r>
      <w:r w:rsidRPr="00DA1DBA">
        <w:rPr>
          <w:lang w:eastAsia="ms-MY"/>
        </w:rPr>
        <w:t>24.5 percent</w:t>
      </w:r>
      <w:r>
        <w:rPr>
          <w:lang w:eastAsia="ms-MY"/>
        </w:rPr>
        <w:t xml:space="preserve"> owned their house and were considered as homeowners. </w:t>
      </w:r>
      <w:r w:rsidRPr="00894DBA">
        <w:rPr>
          <w:lang w:eastAsia="ms-MY"/>
        </w:rPr>
        <w:t>Factors</w:t>
      </w:r>
      <w:r>
        <w:rPr>
          <w:lang w:eastAsia="ms-MY"/>
        </w:rPr>
        <w:t xml:space="preserve"> </w:t>
      </w:r>
      <w:r w:rsidRPr="00894DBA">
        <w:rPr>
          <w:lang w:eastAsia="ms-MY"/>
        </w:rPr>
        <w:t>such as high housing price, limited financial ability</w:t>
      </w:r>
      <w:r>
        <w:rPr>
          <w:lang w:eastAsia="ms-MY"/>
        </w:rPr>
        <w:t>,</w:t>
      </w:r>
      <w:r w:rsidRPr="00894DBA">
        <w:rPr>
          <w:lang w:eastAsia="ms-MY"/>
        </w:rPr>
        <w:t xml:space="preserve"> and economic uncertainties justif</w:t>
      </w:r>
      <w:r>
        <w:rPr>
          <w:lang w:eastAsia="ms-MY"/>
        </w:rPr>
        <w:t>ied</w:t>
      </w:r>
      <w:r w:rsidRPr="00894DBA">
        <w:rPr>
          <w:lang w:eastAsia="ms-MY"/>
        </w:rPr>
        <w:t xml:space="preserve"> why renting outnumber</w:t>
      </w:r>
      <w:r>
        <w:rPr>
          <w:lang w:eastAsia="ms-MY"/>
        </w:rPr>
        <w:t>ed</w:t>
      </w:r>
      <w:r w:rsidRPr="00894DBA">
        <w:rPr>
          <w:lang w:eastAsia="ms-MY"/>
        </w:rPr>
        <w:t xml:space="preserve"> owning (</w:t>
      </w:r>
      <w:proofErr w:type="spellStart"/>
      <w:r w:rsidRPr="00894DBA">
        <w:rPr>
          <w:lang w:eastAsia="ms-MY"/>
        </w:rPr>
        <w:t>Hoolachan</w:t>
      </w:r>
      <w:proofErr w:type="spellEnd"/>
      <w:r w:rsidRPr="00894DBA">
        <w:rPr>
          <w:lang w:eastAsia="ms-MY"/>
        </w:rPr>
        <w:t xml:space="preserve">, McKee, Moore, &amp; </w:t>
      </w:r>
      <w:proofErr w:type="spellStart"/>
      <w:r w:rsidRPr="00894DBA">
        <w:rPr>
          <w:lang w:eastAsia="ms-MY"/>
        </w:rPr>
        <w:t>Soaita</w:t>
      </w:r>
      <w:proofErr w:type="spellEnd"/>
      <w:r w:rsidRPr="00894DBA">
        <w:rPr>
          <w:lang w:eastAsia="ms-MY"/>
        </w:rPr>
        <w:t>, 2016; Beer &amp; Faulkner, 2013;</w:t>
      </w:r>
      <w:r>
        <w:rPr>
          <w:lang w:eastAsia="ms-MY"/>
        </w:rPr>
        <w:t xml:space="preserve"> and</w:t>
      </w:r>
      <w:r w:rsidRPr="00894DBA">
        <w:rPr>
          <w:lang w:eastAsia="ms-MY"/>
        </w:rPr>
        <w:t xml:space="preserve"> Rugg, 2010).</w:t>
      </w:r>
    </w:p>
    <w:p w14:paraId="1590E347" w14:textId="77777777" w:rsidR="00BE540F" w:rsidRDefault="00BE540F" w:rsidP="00E0051F">
      <w:pPr>
        <w:ind w:firstLine="720"/>
        <w:rPr>
          <w:lang w:eastAsia="ms-MY"/>
        </w:rPr>
      </w:pPr>
    </w:p>
    <w:p w14:paraId="726BD35C" w14:textId="673C3EC4" w:rsidR="00BE540F" w:rsidRDefault="00BE540F" w:rsidP="00E0051F">
      <w:pPr>
        <w:ind w:firstLine="720"/>
        <w:rPr>
          <w:lang w:eastAsia="ms-MY"/>
        </w:rPr>
      </w:pPr>
    </w:p>
    <w:p w14:paraId="0D40CA5C" w14:textId="099FE725" w:rsidR="004E63A5" w:rsidRDefault="004E63A5" w:rsidP="00E0051F">
      <w:pPr>
        <w:ind w:firstLine="720"/>
        <w:rPr>
          <w:lang w:eastAsia="ms-MY"/>
        </w:rPr>
      </w:pPr>
    </w:p>
    <w:p w14:paraId="56732100" w14:textId="19C5DD6F" w:rsidR="004E63A5" w:rsidRDefault="004E63A5" w:rsidP="00E0051F">
      <w:pPr>
        <w:ind w:firstLine="720"/>
        <w:rPr>
          <w:lang w:eastAsia="ms-MY"/>
        </w:rPr>
      </w:pPr>
    </w:p>
    <w:p w14:paraId="56CCBC65" w14:textId="77777777" w:rsidR="004E63A5" w:rsidRDefault="004E63A5" w:rsidP="00E0051F">
      <w:pPr>
        <w:ind w:firstLine="720"/>
        <w:rPr>
          <w:lang w:eastAsia="ms-MY"/>
        </w:rPr>
      </w:pPr>
    </w:p>
    <w:p w14:paraId="696D9FF2" w14:textId="07645D11" w:rsidR="00D22DE5" w:rsidRDefault="00D22DE5" w:rsidP="00E0051F">
      <w:pPr>
        <w:ind w:firstLine="720"/>
        <w:jc w:val="center"/>
        <w:rPr>
          <w:lang w:eastAsia="ms-MY"/>
        </w:rPr>
      </w:pPr>
      <w:r>
        <w:rPr>
          <w:lang w:eastAsia="ms-MY"/>
        </w:rPr>
        <w:lastRenderedPageBreak/>
        <w:t xml:space="preserve">Table </w:t>
      </w:r>
      <w:r w:rsidRPr="00D22DE5">
        <w:rPr>
          <w:lang w:eastAsia="ms-MY"/>
        </w:rPr>
        <w:t>1 Demographic Profiles of the Respondents</w:t>
      </w:r>
    </w:p>
    <w:tbl>
      <w:tblPr>
        <w:tblStyle w:val="TableGrid60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1229"/>
        <w:gridCol w:w="1269"/>
      </w:tblGrid>
      <w:tr w:rsidR="00D22DE5" w:rsidRPr="00714378" w14:paraId="696F29BA" w14:textId="77777777" w:rsidTr="00487C4E">
        <w:trPr>
          <w:jc w:val="center"/>
        </w:trPr>
        <w:tc>
          <w:tcPr>
            <w:tcW w:w="6006" w:type="dxa"/>
            <w:tcBorders>
              <w:top w:val="single" w:sz="4" w:space="0" w:color="auto"/>
              <w:bottom w:val="single" w:sz="4" w:space="0" w:color="auto"/>
            </w:tcBorders>
            <w:vAlign w:val="center"/>
          </w:tcPr>
          <w:p w14:paraId="6B4682D7"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Profile</w:t>
            </w:r>
          </w:p>
        </w:tc>
        <w:tc>
          <w:tcPr>
            <w:tcW w:w="1229" w:type="dxa"/>
            <w:tcBorders>
              <w:top w:val="single" w:sz="4" w:space="0" w:color="auto"/>
              <w:bottom w:val="single" w:sz="4" w:space="0" w:color="auto"/>
            </w:tcBorders>
            <w:vAlign w:val="center"/>
          </w:tcPr>
          <w:p w14:paraId="0B165DC8"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Frequency</w:t>
            </w:r>
          </w:p>
        </w:tc>
        <w:tc>
          <w:tcPr>
            <w:tcW w:w="1269" w:type="dxa"/>
            <w:tcBorders>
              <w:top w:val="single" w:sz="4" w:space="0" w:color="auto"/>
              <w:bottom w:val="single" w:sz="4" w:space="0" w:color="auto"/>
            </w:tcBorders>
            <w:vAlign w:val="center"/>
          </w:tcPr>
          <w:p w14:paraId="741875E1"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Percentage</w:t>
            </w:r>
          </w:p>
        </w:tc>
      </w:tr>
      <w:tr w:rsidR="00D22DE5" w:rsidRPr="00714378" w14:paraId="611FFA9E" w14:textId="77777777" w:rsidTr="00487C4E">
        <w:trPr>
          <w:jc w:val="center"/>
        </w:trPr>
        <w:tc>
          <w:tcPr>
            <w:tcW w:w="6006" w:type="dxa"/>
            <w:tcBorders>
              <w:top w:val="single" w:sz="4" w:space="0" w:color="auto"/>
            </w:tcBorders>
          </w:tcPr>
          <w:p w14:paraId="68A0C179" w14:textId="77777777" w:rsidR="00D22DE5" w:rsidRPr="00714378" w:rsidRDefault="00D22DE5" w:rsidP="004E63A5">
            <w:pPr>
              <w:spacing w:line="240" w:lineRule="auto"/>
              <w:jc w:val="left"/>
              <w:rPr>
                <w:rFonts w:eastAsia="Calibri" w:cs="Times New Roman"/>
                <w:b/>
                <w:sz w:val="22"/>
              </w:rPr>
            </w:pPr>
            <w:r w:rsidRPr="00714378">
              <w:rPr>
                <w:rFonts w:eastAsia="Calibri" w:cs="Times New Roman"/>
                <w:b/>
                <w:sz w:val="22"/>
              </w:rPr>
              <w:t>Gender</w:t>
            </w:r>
          </w:p>
        </w:tc>
        <w:tc>
          <w:tcPr>
            <w:tcW w:w="1229" w:type="dxa"/>
            <w:tcBorders>
              <w:top w:val="single" w:sz="4" w:space="0" w:color="auto"/>
            </w:tcBorders>
            <w:vAlign w:val="center"/>
          </w:tcPr>
          <w:p w14:paraId="7A2B374A" w14:textId="77777777" w:rsidR="00D22DE5" w:rsidRPr="00714378" w:rsidRDefault="00D22DE5" w:rsidP="004E63A5">
            <w:pPr>
              <w:spacing w:line="240" w:lineRule="auto"/>
              <w:jc w:val="center"/>
              <w:rPr>
                <w:rFonts w:eastAsia="Calibri" w:cs="Times New Roman"/>
                <w:sz w:val="22"/>
              </w:rPr>
            </w:pPr>
          </w:p>
        </w:tc>
        <w:tc>
          <w:tcPr>
            <w:tcW w:w="1269" w:type="dxa"/>
            <w:tcBorders>
              <w:top w:val="single" w:sz="4" w:space="0" w:color="auto"/>
            </w:tcBorders>
            <w:vAlign w:val="center"/>
          </w:tcPr>
          <w:p w14:paraId="66F50725" w14:textId="77777777" w:rsidR="00D22DE5" w:rsidRPr="00714378" w:rsidRDefault="00D22DE5" w:rsidP="004E63A5">
            <w:pPr>
              <w:spacing w:line="240" w:lineRule="auto"/>
              <w:jc w:val="center"/>
              <w:rPr>
                <w:rFonts w:eastAsia="Calibri" w:cs="Times New Roman"/>
                <w:sz w:val="22"/>
              </w:rPr>
            </w:pPr>
          </w:p>
        </w:tc>
      </w:tr>
      <w:tr w:rsidR="00D22DE5" w:rsidRPr="00714378" w14:paraId="44C88A67" w14:textId="77777777" w:rsidTr="00487C4E">
        <w:trPr>
          <w:jc w:val="center"/>
        </w:trPr>
        <w:tc>
          <w:tcPr>
            <w:tcW w:w="6006" w:type="dxa"/>
          </w:tcPr>
          <w:p w14:paraId="22DE79FC"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Male</w:t>
            </w:r>
          </w:p>
        </w:tc>
        <w:tc>
          <w:tcPr>
            <w:tcW w:w="1229" w:type="dxa"/>
            <w:vAlign w:val="center"/>
          </w:tcPr>
          <w:p w14:paraId="4BFA7251"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193</w:t>
            </w:r>
          </w:p>
        </w:tc>
        <w:tc>
          <w:tcPr>
            <w:tcW w:w="1269" w:type="dxa"/>
            <w:vAlign w:val="center"/>
          </w:tcPr>
          <w:p w14:paraId="620068FD"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48.7</w:t>
            </w:r>
          </w:p>
        </w:tc>
      </w:tr>
      <w:tr w:rsidR="00D22DE5" w:rsidRPr="00714378" w14:paraId="58F981CE" w14:textId="77777777" w:rsidTr="00487C4E">
        <w:trPr>
          <w:jc w:val="center"/>
        </w:trPr>
        <w:tc>
          <w:tcPr>
            <w:tcW w:w="6006" w:type="dxa"/>
            <w:tcBorders>
              <w:bottom w:val="single" w:sz="4" w:space="0" w:color="auto"/>
            </w:tcBorders>
          </w:tcPr>
          <w:p w14:paraId="5C7258C0"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Female</w:t>
            </w:r>
          </w:p>
        </w:tc>
        <w:tc>
          <w:tcPr>
            <w:tcW w:w="1229" w:type="dxa"/>
            <w:tcBorders>
              <w:bottom w:val="single" w:sz="4" w:space="0" w:color="auto"/>
            </w:tcBorders>
            <w:vAlign w:val="center"/>
          </w:tcPr>
          <w:p w14:paraId="29C39498"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203</w:t>
            </w:r>
          </w:p>
        </w:tc>
        <w:tc>
          <w:tcPr>
            <w:tcW w:w="1269" w:type="dxa"/>
            <w:tcBorders>
              <w:bottom w:val="single" w:sz="4" w:space="0" w:color="auto"/>
            </w:tcBorders>
            <w:vAlign w:val="center"/>
          </w:tcPr>
          <w:p w14:paraId="4F2852B3"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51.3</w:t>
            </w:r>
          </w:p>
        </w:tc>
      </w:tr>
      <w:tr w:rsidR="00D22DE5" w:rsidRPr="00714378" w14:paraId="054F5FB0" w14:textId="77777777" w:rsidTr="00487C4E">
        <w:trPr>
          <w:jc w:val="center"/>
        </w:trPr>
        <w:tc>
          <w:tcPr>
            <w:tcW w:w="6006" w:type="dxa"/>
            <w:tcBorders>
              <w:top w:val="single" w:sz="4" w:space="0" w:color="auto"/>
            </w:tcBorders>
          </w:tcPr>
          <w:p w14:paraId="76F5A170" w14:textId="77777777" w:rsidR="00D22DE5" w:rsidRPr="00714378" w:rsidRDefault="00D22DE5" w:rsidP="004E63A5">
            <w:pPr>
              <w:spacing w:line="240" w:lineRule="auto"/>
              <w:jc w:val="left"/>
              <w:rPr>
                <w:rFonts w:eastAsia="Calibri" w:cs="Times New Roman"/>
                <w:b/>
                <w:sz w:val="22"/>
              </w:rPr>
            </w:pPr>
            <w:r w:rsidRPr="00714378">
              <w:rPr>
                <w:rFonts w:eastAsia="Calibri" w:cs="Times New Roman"/>
                <w:b/>
                <w:sz w:val="22"/>
              </w:rPr>
              <w:t>Ethnicity</w:t>
            </w:r>
          </w:p>
        </w:tc>
        <w:tc>
          <w:tcPr>
            <w:tcW w:w="1229" w:type="dxa"/>
            <w:tcBorders>
              <w:top w:val="single" w:sz="4" w:space="0" w:color="auto"/>
            </w:tcBorders>
            <w:vAlign w:val="center"/>
          </w:tcPr>
          <w:p w14:paraId="483F2B37" w14:textId="77777777" w:rsidR="00D22DE5" w:rsidRPr="00714378" w:rsidRDefault="00D22DE5" w:rsidP="004E63A5">
            <w:pPr>
              <w:spacing w:line="240" w:lineRule="auto"/>
              <w:jc w:val="center"/>
              <w:rPr>
                <w:rFonts w:eastAsia="Calibri" w:cs="Times New Roman"/>
                <w:sz w:val="22"/>
              </w:rPr>
            </w:pPr>
          </w:p>
        </w:tc>
        <w:tc>
          <w:tcPr>
            <w:tcW w:w="1269" w:type="dxa"/>
            <w:tcBorders>
              <w:top w:val="single" w:sz="4" w:space="0" w:color="auto"/>
            </w:tcBorders>
            <w:vAlign w:val="center"/>
          </w:tcPr>
          <w:p w14:paraId="3A69BB9E" w14:textId="77777777" w:rsidR="00D22DE5" w:rsidRPr="00714378" w:rsidRDefault="00D22DE5" w:rsidP="004E63A5">
            <w:pPr>
              <w:spacing w:line="240" w:lineRule="auto"/>
              <w:jc w:val="center"/>
              <w:rPr>
                <w:rFonts w:eastAsia="Calibri" w:cs="Times New Roman"/>
                <w:sz w:val="22"/>
              </w:rPr>
            </w:pPr>
          </w:p>
        </w:tc>
      </w:tr>
      <w:tr w:rsidR="00D22DE5" w:rsidRPr="00714378" w14:paraId="41C92782" w14:textId="77777777" w:rsidTr="00487C4E">
        <w:trPr>
          <w:jc w:val="center"/>
        </w:trPr>
        <w:tc>
          <w:tcPr>
            <w:tcW w:w="6006" w:type="dxa"/>
          </w:tcPr>
          <w:p w14:paraId="51169AC2"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Malay</w:t>
            </w:r>
          </w:p>
        </w:tc>
        <w:tc>
          <w:tcPr>
            <w:tcW w:w="1229" w:type="dxa"/>
            <w:vAlign w:val="center"/>
          </w:tcPr>
          <w:p w14:paraId="6B3BEAAD"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253</w:t>
            </w:r>
          </w:p>
        </w:tc>
        <w:tc>
          <w:tcPr>
            <w:tcW w:w="1269" w:type="dxa"/>
            <w:vAlign w:val="center"/>
          </w:tcPr>
          <w:p w14:paraId="74A6E5C2"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63.9</w:t>
            </w:r>
          </w:p>
        </w:tc>
      </w:tr>
      <w:tr w:rsidR="00D22DE5" w:rsidRPr="00714378" w14:paraId="33AF8F37" w14:textId="77777777" w:rsidTr="00487C4E">
        <w:trPr>
          <w:jc w:val="center"/>
        </w:trPr>
        <w:tc>
          <w:tcPr>
            <w:tcW w:w="6006" w:type="dxa"/>
          </w:tcPr>
          <w:p w14:paraId="5CFD6C95"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Chinese</w:t>
            </w:r>
          </w:p>
        </w:tc>
        <w:tc>
          <w:tcPr>
            <w:tcW w:w="1229" w:type="dxa"/>
            <w:vAlign w:val="center"/>
          </w:tcPr>
          <w:p w14:paraId="013B7F7A"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85</w:t>
            </w:r>
          </w:p>
        </w:tc>
        <w:tc>
          <w:tcPr>
            <w:tcW w:w="1269" w:type="dxa"/>
            <w:vAlign w:val="center"/>
          </w:tcPr>
          <w:p w14:paraId="62961BA6"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21.5</w:t>
            </w:r>
          </w:p>
        </w:tc>
      </w:tr>
      <w:tr w:rsidR="00D22DE5" w:rsidRPr="00714378" w14:paraId="33741CC3" w14:textId="77777777" w:rsidTr="00487C4E">
        <w:trPr>
          <w:jc w:val="center"/>
        </w:trPr>
        <w:tc>
          <w:tcPr>
            <w:tcW w:w="6006" w:type="dxa"/>
          </w:tcPr>
          <w:p w14:paraId="71160319"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Indian</w:t>
            </w:r>
          </w:p>
        </w:tc>
        <w:tc>
          <w:tcPr>
            <w:tcW w:w="1229" w:type="dxa"/>
            <w:vAlign w:val="center"/>
          </w:tcPr>
          <w:p w14:paraId="7481D947"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49</w:t>
            </w:r>
          </w:p>
        </w:tc>
        <w:tc>
          <w:tcPr>
            <w:tcW w:w="1269" w:type="dxa"/>
            <w:vAlign w:val="center"/>
          </w:tcPr>
          <w:p w14:paraId="34797B18"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12.4</w:t>
            </w:r>
          </w:p>
        </w:tc>
      </w:tr>
      <w:tr w:rsidR="00D22DE5" w:rsidRPr="00714378" w14:paraId="14CE65D5" w14:textId="77777777" w:rsidTr="00487C4E">
        <w:trPr>
          <w:jc w:val="center"/>
        </w:trPr>
        <w:tc>
          <w:tcPr>
            <w:tcW w:w="6006" w:type="dxa"/>
          </w:tcPr>
          <w:p w14:paraId="088044E7"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Bumiputra</w:t>
            </w:r>
          </w:p>
        </w:tc>
        <w:tc>
          <w:tcPr>
            <w:tcW w:w="1229" w:type="dxa"/>
            <w:vAlign w:val="center"/>
          </w:tcPr>
          <w:p w14:paraId="3BE00026"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8</w:t>
            </w:r>
          </w:p>
        </w:tc>
        <w:tc>
          <w:tcPr>
            <w:tcW w:w="1269" w:type="dxa"/>
            <w:vAlign w:val="center"/>
          </w:tcPr>
          <w:p w14:paraId="1B728E6B"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2.0</w:t>
            </w:r>
          </w:p>
        </w:tc>
      </w:tr>
      <w:tr w:rsidR="00D22DE5" w:rsidRPr="00714378" w14:paraId="2AE2144C" w14:textId="77777777" w:rsidTr="00487C4E">
        <w:trPr>
          <w:jc w:val="center"/>
        </w:trPr>
        <w:tc>
          <w:tcPr>
            <w:tcW w:w="6006" w:type="dxa"/>
            <w:tcBorders>
              <w:bottom w:val="single" w:sz="4" w:space="0" w:color="auto"/>
            </w:tcBorders>
          </w:tcPr>
          <w:p w14:paraId="4D255061"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Others</w:t>
            </w:r>
          </w:p>
        </w:tc>
        <w:tc>
          <w:tcPr>
            <w:tcW w:w="1229" w:type="dxa"/>
            <w:tcBorders>
              <w:bottom w:val="single" w:sz="4" w:space="0" w:color="auto"/>
            </w:tcBorders>
            <w:vAlign w:val="center"/>
          </w:tcPr>
          <w:p w14:paraId="2B897554"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1</w:t>
            </w:r>
          </w:p>
        </w:tc>
        <w:tc>
          <w:tcPr>
            <w:tcW w:w="1269" w:type="dxa"/>
            <w:tcBorders>
              <w:bottom w:val="single" w:sz="4" w:space="0" w:color="auto"/>
            </w:tcBorders>
            <w:vAlign w:val="center"/>
          </w:tcPr>
          <w:p w14:paraId="5366D40F"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0.3</w:t>
            </w:r>
          </w:p>
        </w:tc>
      </w:tr>
      <w:tr w:rsidR="00D22DE5" w:rsidRPr="00714378" w14:paraId="3F9209D5" w14:textId="77777777" w:rsidTr="00487C4E">
        <w:trPr>
          <w:jc w:val="center"/>
        </w:trPr>
        <w:tc>
          <w:tcPr>
            <w:tcW w:w="6006" w:type="dxa"/>
            <w:tcBorders>
              <w:top w:val="single" w:sz="4" w:space="0" w:color="auto"/>
            </w:tcBorders>
          </w:tcPr>
          <w:p w14:paraId="3E318113" w14:textId="77777777" w:rsidR="00D22DE5" w:rsidRPr="00714378" w:rsidRDefault="00D22DE5" w:rsidP="004E63A5">
            <w:pPr>
              <w:spacing w:line="240" w:lineRule="auto"/>
              <w:jc w:val="left"/>
              <w:rPr>
                <w:rFonts w:eastAsia="Calibri" w:cs="Times New Roman"/>
                <w:b/>
                <w:sz w:val="22"/>
              </w:rPr>
            </w:pPr>
            <w:r w:rsidRPr="00714378">
              <w:rPr>
                <w:rFonts w:eastAsia="Calibri" w:cs="Times New Roman"/>
                <w:b/>
                <w:sz w:val="22"/>
              </w:rPr>
              <w:t>Education Level</w:t>
            </w:r>
          </w:p>
        </w:tc>
        <w:tc>
          <w:tcPr>
            <w:tcW w:w="1229" w:type="dxa"/>
            <w:tcBorders>
              <w:top w:val="single" w:sz="4" w:space="0" w:color="auto"/>
            </w:tcBorders>
            <w:vAlign w:val="center"/>
          </w:tcPr>
          <w:p w14:paraId="0C318B19" w14:textId="77777777" w:rsidR="00D22DE5" w:rsidRPr="00714378" w:rsidRDefault="00D22DE5" w:rsidP="004E63A5">
            <w:pPr>
              <w:spacing w:line="240" w:lineRule="auto"/>
              <w:jc w:val="center"/>
              <w:rPr>
                <w:rFonts w:eastAsia="Calibri" w:cs="Times New Roman"/>
                <w:sz w:val="22"/>
              </w:rPr>
            </w:pPr>
          </w:p>
        </w:tc>
        <w:tc>
          <w:tcPr>
            <w:tcW w:w="1269" w:type="dxa"/>
            <w:tcBorders>
              <w:top w:val="single" w:sz="4" w:space="0" w:color="auto"/>
            </w:tcBorders>
            <w:vAlign w:val="center"/>
          </w:tcPr>
          <w:p w14:paraId="63B205B6" w14:textId="77777777" w:rsidR="00D22DE5" w:rsidRPr="00714378" w:rsidRDefault="00D22DE5" w:rsidP="004E63A5">
            <w:pPr>
              <w:spacing w:line="240" w:lineRule="auto"/>
              <w:jc w:val="center"/>
              <w:rPr>
                <w:rFonts w:eastAsia="Calibri" w:cs="Times New Roman"/>
                <w:sz w:val="22"/>
              </w:rPr>
            </w:pPr>
          </w:p>
        </w:tc>
      </w:tr>
      <w:tr w:rsidR="00D22DE5" w:rsidRPr="00714378" w14:paraId="6823E839" w14:textId="77777777" w:rsidTr="00487C4E">
        <w:trPr>
          <w:jc w:val="center"/>
        </w:trPr>
        <w:tc>
          <w:tcPr>
            <w:tcW w:w="6006" w:type="dxa"/>
          </w:tcPr>
          <w:p w14:paraId="60900DBD"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Primary School</w:t>
            </w:r>
          </w:p>
        </w:tc>
        <w:tc>
          <w:tcPr>
            <w:tcW w:w="1229" w:type="dxa"/>
            <w:vAlign w:val="center"/>
          </w:tcPr>
          <w:p w14:paraId="116BF1F1"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w:t>
            </w:r>
          </w:p>
        </w:tc>
        <w:tc>
          <w:tcPr>
            <w:tcW w:w="1269" w:type="dxa"/>
            <w:vAlign w:val="center"/>
          </w:tcPr>
          <w:p w14:paraId="752D5BB3"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0.5</w:t>
            </w:r>
          </w:p>
        </w:tc>
      </w:tr>
      <w:tr w:rsidR="00D22DE5" w:rsidRPr="00714378" w14:paraId="18155BAA" w14:textId="77777777" w:rsidTr="00487C4E">
        <w:trPr>
          <w:jc w:val="center"/>
        </w:trPr>
        <w:tc>
          <w:tcPr>
            <w:tcW w:w="6006" w:type="dxa"/>
          </w:tcPr>
          <w:p w14:paraId="4490B8D6"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Secondary School</w:t>
            </w:r>
          </w:p>
        </w:tc>
        <w:tc>
          <w:tcPr>
            <w:tcW w:w="1229" w:type="dxa"/>
            <w:vAlign w:val="center"/>
          </w:tcPr>
          <w:p w14:paraId="7F0FB351"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31</w:t>
            </w:r>
          </w:p>
        </w:tc>
        <w:tc>
          <w:tcPr>
            <w:tcW w:w="1269" w:type="dxa"/>
            <w:vAlign w:val="center"/>
          </w:tcPr>
          <w:p w14:paraId="185F38DE"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7.8</w:t>
            </w:r>
          </w:p>
        </w:tc>
      </w:tr>
      <w:tr w:rsidR="00D22DE5" w:rsidRPr="00714378" w14:paraId="6DB927A5" w14:textId="77777777" w:rsidTr="00487C4E">
        <w:trPr>
          <w:jc w:val="center"/>
        </w:trPr>
        <w:tc>
          <w:tcPr>
            <w:tcW w:w="6006" w:type="dxa"/>
            <w:tcBorders>
              <w:bottom w:val="single" w:sz="4" w:space="0" w:color="auto"/>
            </w:tcBorders>
          </w:tcPr>
          <w:p w14:paraId="066A5962"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Tertiary</w:t>
            </w:r>
          </w:p>
        </w:tc>
        <w:tc>
          <w:tcPr>
            <w:tcW w:w="1229" w:type="dxa"/>
            <w:tcBorders>
              <w:bottom w:val="single" w:sz="4" w:space="0" w:color="auto"/>
            </w:tcBorders>
            <w:vAlign w:val="center"/>
          </w:tcPr>
          <w:p w14:paraId="38F3C929"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363</w:t>
            </w:r>
          </w:p>
        </w:tc>
        <w:tc>
          <w:tcPr>
            <w:tcW w:w="1269" w:type="dxa"/>
            <w:tcBorders>
              <w:bottom w:val="single" w:sz="4" w:space="0" w:color="auto"/>
            </w:tcBorders>
            <w:vAlign w:val="center"/>
          </w:tcPr>
          <w:p w14:paraId="7B790B73"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91.7</w:t>
            </w:r>
          </w:p>
        </w:tc>
      </w:tr>
      <w:tr w:rsidR="00D22DE5" w:rsidRPr="00714378" w14:paraId="63A4FF61" w14:textId="77777777" w:rsidTr="00487C4E">
        <w:trPr>
          <w:jc w:val="center"/>
        </w:trPr>
        <w:tc>
          <w:tcPr>
            <w:tcW w:w="6006" w:type="dxa"/>
            <w:tcBorders>
              <w:top w:val="single" w:sz="4" w:space="0" w:color="auto"/>
            </w:tcBorders>
          </w:tcPr>
          <w:p w14:paraId="609C5B76" w14:textId="77777777" w:rsidR="00D22DE5" w:rsidRDefault="00D22DE5" w:rsidP="004E63A5">
            <w:pPr>
              <w:tabs>
                <w:tab w:val="left" w:pos="1926"/>
              </w:tabs>
              <w:spacing w:line="240" w:lineRule="auto"/>
              <w:jc w:val="left"/>
              <w:rPr>
                <w:rFonts w:eastAsia="Calibri" w:cs="Times New Roman"/>
                <w:b/>
                <w:sz w:val="22"/>
              </w:rPr>
            </w:pPr>
          </w:p>
          <w:p w14:paraId="7332E24B" w14:textId="77777777" w:rsidR="00D22DE5" w:rsidRPr="00714378" w:rsidRDefault="00D22DE5" w:rsidP="004E63A5">
            <w:pPr>
              <w:tabs>
                <w:tab w:val="left" w:pos="1926"/>
              </w:tabs>
              <w:spacing w:line="240" w:lineRule="auto"/>
              <w:jc w:val="left"/>
              <w:rPr>
                <w:rFonts w:eastAsia="Calibri" w:cs="Times New Roman"/>
                <w:b/>
                <w:sz w:val="22"/>
              </w:rPr>
            </w:pPr>
            <w:r w:rsidRPr="00714378">
              <w:rPr>
                <w:rFonts w:eastAsia="Calibri" w:cs="Times New Roman"/>
                <w:b/>
                <w:sz w:val="22"/>
              </w:rPr>
              <w:t>Marital Status</w:t>
            </w:r>
            <w:r w:rsidRPr="00714378">
              <w:rPr>
                <w:rFonts w:eastAsia="Calibri" w:cs="Times New Roman"/>
                <w:b/>
                <w:sz w:val="22"/>
              </w:rPr>
              <w:tab/>
            </w:r>
          </w:p>
        </w:tc>
        <w:tc>
          <w:tcPr>
            <w:tcW w:w="1229" w:type="dxa"/>
            <w:tcBorders>
              <w:top w:val="single" w:sz="4" w:space="0" w:color="auto"/>
            </w:tcBorders>
            <w:vAlign w:val="center"/>
          </w:tcPr>
          <w:p w14:paraId="0220531B" w14:textId="77777777" w:rsidR="00D22DE5" w:rsidRPr="00714378" w:rsidRDefault="00D22DE5" w:rsidP="004E63A5">
            <w:pPr>
              <w:spacing w:line="240" w:lineRule="auto"/>
              <w:jc w:val="center"/>
              <w:rPr>
                <w:rFonts w:eastAsia="Calibri" w:cs="Times New Roman"/>
                <w:sz w:val="22"/>
              </w:rPr>
            </w:pPr>
          </w:p>
        </w:tc>
        <w:tc>
          <w:tcPr>
            <w:tcW w:w="1269" w:type="dxa"/>
            <w:tcBorders>
              <w:top w:val="single" w:sz="4" w:space="0" w:color="auto"/>
            </w:tcBorders>
            <w:vAlign w:val="center"/>
          </w:tcPr>
          <w:p w14:paraId="2D20F007" w14:textId="77777777" w:rsidR="00D22DE5" w:rsidRPr="00714378" w:rsidRDefault="00D22DE5" w:rsidP="004E63A5">
            <w:pPr>
              <w:spacing w:line="240" w:lineRule="auto"/>
              <w:jc w:val="center"/>
              <w:rPr>
                <w:rFonts w:eastAsia="Calibri" w:cs="Times New Roman"/>
                <w:sz w:val="22"/>
              </w:rPr>
            </w:pPr>
          </w:p>
        </w:tc>
      </w:tr>
      <w:tr w:rsidR="00D22DE5" w:rsidRPr="00714378" w14:paraId="14FEEAAD" w14:textId="77777777" w:rsidTr="00487C4E">
        <w:trPr>
          <w:jc w:val="center"/>
        </w:trPr>
        <w:tc>
          <w:tcPr>
            <w:tcW w:w="6006" w:type="dxa"/>
          </w:tcPr>
          <w:p w14:paraId="4BE61DFB"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Single</w:t>
            </w:r>
          </w:p>
        </w:tc>
        <w:tc>
          <w:tcPr>
            <w:tcW w:w="1229" w:type="dxa"/>
            <w:vAlign w:val="center"/>
          </w:tcPr>
          <w:p w14:paraId="5618F5AE"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265</w:t>
            </w:r>
          </w:p>
        </w:tc>
        <w:tc>
          <w:tcPr>
            <w:tcW w:w="1269" w:type="dxa"/>
            <w:vAlign w:val="center"/>
          </w:tcPr>
          <w:p w14:paraId="169609B4"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66.9</w:t>
            </w:r>
          </w:p>
        </w:tc>
      </w:tr>
      <w:tr w:rsidR="00D22DE5" w:rsidRPr="00714378" w14:paraId="56375384" w14:textId="77777777" w:rsidTr="00487C4E">
        <w:trPr>
          <w:jc w:val="center"/>
        </w:trPr>
        <w:tc>
          <w:tcPr>
            <w:tcW w:w="6006" w:type="dxa"/>
          </w:tcPr>
          <w:p w14:paraId="127DAFBD"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Married</w:t>
            </w:r>
          </w:p>
        </w:tc>
        <w:tc>
          <w:tcPr>
            <w:tcW w:w="1229" w:type="dxa"/>
            <w:vAlign w:val="center"/>
          </w:tcPr>
          <w:p w14:paraId="7ACBA4AC"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122</w:t>
            </w:r>
          </w:p>
        </w:tc>
        <w:tc>
          <w:tcPr>
            <w:tcW w:w="1269" w:type="dxa"/>
            <w:vAlign w:val="center"/>
          </w:tcPr>
          <w:p w14:paraId="71795178"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30.8</w:t>
            </w:r>
          </w:p>
        </w:tc>
      </w:tr>
      <w:tr w:rsidR="00D22DE5" w:rsidRPr="00714378" w14:paraId="171854A8" w14:textId="77777777" w:rsidTr="00487C4E">
        <w:trPr>
          <w:jc w:val="center"/>
        </w:trPr>
        <w:tc>
          <w:tcPr>
            <w:tcW w:w="6006" w:type="dxa"/>
            <w:tcBorders>
              <w:bottom w:val="single" w:sz="4" w:space="0" w:color="auto"/>
            </w:tcBorders>
          </w:tcPr>
          <w:p w14:paraId="238BD096"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Divorced / Widower</w:t>
            </w:r>
          </w:p>
        </w:tc>
        <w:tc>
          <w:tcPr>
            <w:tcW w:w="1229" w:type="dxa"/>
            <w:tcBorders>
              <w:bottom w:val="single" w:sz="4" w:space="0" w:color="auto"/>
            </w:tcBorders>
            <w:vAlign w:val="center"/>
          </w:tcPr>
          <w:p w14:paraId="45CDD7F8"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9</w:t>
            </w:r>
          </w:p>
        </w:tc>
        <w:tc>
          <w:tcPr>
            <w:tcW w:w="1269" w:type="dxa"/>
            <w:tcBorders>
              <w:bottom w:val="single" w:sz="4" w:space="0" w:color="auto"/>
            </w:tcBorders>
            <w:vAlign w:val="center"/>
          </w:tcPr>
          <w:p w14:paraId="04E317E5"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2.3</w:t>
            </w:r>
          </w:p>
        </w:tc>
      </w:tr>
      <w:tr w:rsidR="00D22DE5" w:rsidRPr="00714378" w14:paraId="4E3C8B0F" w14:textId="77777777" w:rsidTr="00487C4E">
        <w:trPr>
          <w:jc w:val="center"/>
        </w:trPr>
        <w:tc>
          <w:tcPr>
            <w:tcW w:w="6006" w:type="dxa"/>
            <w:tcBorders>
              <w:top w:val="single" w:sz="4" w:space="0" w:color="auto"/>
            </w:tcBorders>
          </w:tcPr>
          <w:p w14:paraId="1B7467CE" w14:textId="77777777" w:rsidR="00D22DE5" w:rsidRPr="00714378" w:rsidRDefault="00D22DE5" w:rsidP="004E63A5">
            <w:pPr>
              <w:spacing w:line="240" w:lineRule="auto"/>
              <w:rPr>
                <w:rFonts w:eastAsia="Calibri" w:cs="Times New Roman"/>
                <w:sz w:val="22"/>
              </w:rPr>
            </w:pPr>
            <w:r w:rsidRPr="00714378">
              <w:rPr>
                <w:rFonts w:eastAsia="Calibri" w:cs="Times New Roman"/>
                <w:b/>
                <w:sz w:val="22"/>
              </w:rPr>
              <w:t>Age</w:t>
            </w:r>
            <w:r w:rsidRPr="00714378">
              <w:rPr>
                <w:rFonts w:eastAsia="Calibri" w:cs="Times New Roman"/>
                <w:sz w:val="22"/>
              </w:rPr>
              <w:t xml:space="preserve">                                   20-24</w:t>
            </w:r>
          </w:p>
        </w:tc>
        <w:tc>
          <w:tcPr>
            <w:tcW w:w="1229" w:type="dxa"/>
            <w:tcBorders>
              <w:top w:val="single" w:sz="4" w:space="0" w:color="auto"/>
            </w:tcBorders>
            <w:vAlign w:val="center"/>
          </w:tcPr>
          <w:p w14:paraId="5BBF1B35"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42</w:t>
            </w:r>
          </w:p>
        </w:tc>
        <w:tc>
          <w:tcPr>
            <w:tcW w:w="1269" w:type="dxa"/>
            <w:tcBorders>
              <w:top w:val="single" w:sz="4" w:space="0" w:color="auto"/>
            </w:tcBorders>
            <w:vAlign w:val="center"/>
          </w:tcPr>
          <w:p w14:paraId="4D83A422"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10.6</w:t>
            </w:r>
          </w:p>
        </w:tc>
      </w:tr>
      <w:tr w:rsidR="00D22DE5" w:rsidRPr="00714378" w14:paraId="7F3242AF" w14:textId="77777777" w:rsidTr="00487C4E">
        <w:trPr>
          <w:jc w:val="center"/>
        </w:trPr>
        <w:tc>
          <w:tcPr>
            <w:tcW w:w="6006" w:type="dxa"/>
          </w:tcPr>
          <w:p w14:paraId="03AFAF12" w14:textId="77777777" w:rsidR="00D22DE5" w:rsidRPr="00714378" w:rsidRDefault="00D22DE5" w:rsidP="004E63A5">
            <w:pPr>
              <w:spacing w:line="240" w:lineRule="auto"/>
              <w:rPr>
                <w:rFonts w:eastAsia="Calibri" w:cs="Times New Roman"/>
                <w:sz w:val="22"/>
              </w:rPr>
            </w:pPr>
            <w:r w:rsidRPr="00714378">
              <w:rPr>
                <w:rFonts w:eastAsia="Calibri" w:cs="Times New Roman"/>
                <w:sz w:val="22"/>
              </w:rPr>
              <w:t xml:space="preserve">                                          25-29</w:t>
            </w:r>
          </w:p>
        </w:tc>
        <w:tc>
          <w:tcPr>
            <w:tcW w:w="1229" w:type="dxa"/>
            <w:vAlign w:val="center"/>
          </w:tcPr>
          <w:p w14:paraId="05DBF93E"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220</w:t>
            </w:r>
          </w:p>
        </w:tc>
        <w:tc>
          <w:tcPr>
            <w:tcW w:w="1269" w:type="dxa"/>
            <w:vAlign w:val="center"/>
          </w:tcPr>
          <w:p w14:paraId="62F57FBC"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55.6</w:t>
            </w:r>
          </w:p>
        </w:tc>
      </w:tr>
      <w:tr w:rsidR="00D22DE5" w:rsidRPr="00714378" w14:paraId="673A43FD" w14:textId="77777777" w:rsidTr="00487C4E">
        <w:trPr>
          <w:jc w:val="center"/>
        </w:trPr>
        <w:tc>
          <w:tcPr>
            <w:tcW w:w="6006" w:type="dxa"/>
          </w:tcPr>
          <w:p w14:paraId="46352949" w14:textId="77777777" w:rsidR="00D22DE5" w:rsidRPr="00714378" w:rsidRDefault="00D22DE5" w:rsidP="004E63A5">
            <w:pPr>
              <w:spacing w:line="240" w:lineRule="auto"/>
              <w:rPr>
                <w:rFonts w:eastAsia="Calibri" w:cs="Times New Roman"/>
                <w:sz w:val="22"/>
              </w:rPr>
            </w:pPr>
            <w:r w:rsidRPr="00714378">
              <w:rPr>
                <w:rFonts w:eastAsia="Calibri" w:cs="Times New Roman"/>
                <w:sz w:val="22"/>
              </w:rPr>
              <w:t xml:space="preserve">                                          30-34</w:t>
            </w:r>
          </w:p>
        </w:tc>
        <w:tc>
          <w:tcPr>
            <w:tcW w:w="1229" w:type="dxa"/>
            <w:vAlign w:val="center"/>
          </w:tcPr>
          <w:p w14:paraId="007DBD26"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77</w:t>
            </w:r>
          </w:p>
        </w:tc>
        <w:tc>
          <w:tcPr>
            <w:tcW w:w="1269" w:type="dxa"/>
            <w:vAlign w:val="center"/>
          </w:tcPr>
          <w:p w14:paraId="72CE164C"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19.4</w:t>
            </w:r>
          </w:p>
        </w:tc>
      </w:tr>
      <w:tr w:rsidR="00D22DE5" w:rsidRPr="00714378" w14:paraId="377E9414" w14:textId="77777777" w:rsidTr="00487C4E">
        <w:trPr>
          <w:jc w:val="center"/>
        </w:trPr>
        <w:tc>
          <w:tcPr>
            <w:tcW w:w="6006" w:type="dxa"/>
            <w:tcBorders>
              <w:bottom w:val="single" w:sz="4" w:space="0" w:color="auto"/>
            </w:tcBorders>
          </w:tcPr>
          <w:p w14:paraId="414F3952" w14:textId="77777777" w:rsidR="00D22DE5" w:rsidRPr="00714378" w:rsidRDefault="00D22DE5" w:rsidP="004E63A5">
            <w:pPr>
              <w:spacing w:line="240" w:lineRule="auto"/>
              <w:rPr>
                <w:rFonts w:eastAsia="Calibri" w:cs="Times New Roman"/>
                <w:sz w:val="22"/>
              </w:rPr>
            </w:pPr>
            <w:r w:rsidRPr="00714378">
              <w:rPr>
                <w:rFonts w:eastAsia="Calibri" w:cs="Times New Roman"/>
                <w:sz w:val="22"/>
              </w:rPr>
              <w:t xml:space="preserve">                                          35-39</w:t>
            </w:r>
          </w:p>
        </w:tc>
        <w:tc>
          <w:tcPr>
            <w:tcW w:w="1229" w:type="dxa"/>
            <w:tcBorders>
              <w:bottom w:val="single" w:sz="4" w:space="0" w:color="auto"/>
            </w:tcBorders>
            <w:vAlign w:val="center"/>
          </w:tcPr>
          <w:p w14:paraId="1756D4A9"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57</w:t>
            </w:r>
          </w:p>
        </w:tc>
        <w:tc>
          <w:tcPr>
            <w:tcW w:w="1269" w:type="dxa"/>
            <w:tcBorders>
              <w:bottom w:val="single" w:sz="4" w:space="0" w:color="auto"/>
            </w:tcBorders>
            <w:vAlign w:val="center"/>
          </w:tcPr>
          <w:p w14:paraId="79291103"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14.4</w:t>
            </w:r>
          </w:p>
        </w:tc>
      </w:tr>
      <w:tr w:rsidR="00D22DE5" w:rsidRPr="00714378" w14:paraId="3CB75A95" w14:textId="77777777" w:rsidTr="00487C4E">
        <w:trPr>
          <w:jc w:val="center"/>
        </w:trPr>
        <w:tc>
          <w:tcPr>
            <w:tcW w:w="8504" w:type="dxa"/>
            <w:gridSpan w:val="3"/>
            <w:tcBorders>
              <w:top w:val="single" w:sz="4" w:space="0" w:color="auto"/>
            </w:tcBorders>
            <w:vAlign w:val="center"/>
          </w:tcPr>
          <w:p w14:paraId="0E03A400" w14:textId="77777777" w:rsidR="00D22DE5" w:rsidRPr="00714378" w:rsidRDefault="00D22DE5" w:rsidP="004E63A5">
            <w:pPr>
              <w:spacing w:line="240" w:lineRule="auto"/>
              <w:jc w:val="left"/>
              <w:rPr>
                <w:rFonts w:eastAsia="Calibri" w:cs="Times New Roman"/>
                <w:b/>
                <w:sz w:val="22"/>
              </w:rPr>
            </w:pPr>
            <w:r w:rsidRPr="00714378">
              <w:rPr>
                <w:rFonts w:eastAsia="Calibri" w:cs="Times New Roman"/>
                <w:b/>
                <w:sz w:val="22"/>
              </w:rPr>
              <w:t>Age</w:t>
            </w:r>
          </w:p>
        </w:tc>
      </w:tr>
      <w:tr w:rsidR="00D22DE5" w:rsidRPr="00714378" w14:paraId="202AD4B1" w14:textId="77777777" w:rsidTr="00487C4E">
        <w:trPr>
          <w:jc w:val="center"/>
        </w:trPr>
        <w:tc>
          <w:tcPr>
            <w:tcW w:w="6006" w:type="dxa"/>
          </w:tcPr>
          <w:p w14:paraId="611AE403"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Minimum</w:t>
            </w:r>
          </w:p>
        </w:tc>
        <w:tc>
          <w:tcPr>
            <w:tcW w:w="2498" w:type="dxa"/>
            <w:gridSpan w:val="2"/>
            <w:vAlign w:val="center"/>
          </w:tcPr>
          <w:p w14:paraId="5FAA37C8"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20</w:t>
            </w:r>
          </w:p>
        </w:tc>
      </w:tr>
      <w:tr w:rsidR="00D22DE5" w:rsidRPr="00714378" w14:paraId="77D98A8B" w14:textId="77777777" w:rsidTr="00487C4E">
        <w:trPr>
          <w:jc w:val="center"/>
        </w:trPr>
        <w:tc>
          <w:tcPr>
            <w:tcW w:w="6006" w:type="dxa"/>
          </w:tcPr>
          <w:p w14:paraId="262E4665"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Maximum</w:t>
            </w:r>
          </w:p>
        </w:tc>
        <w:tc>
          <w:tcPr>
            <w:tcW w:w="2498" w:type="dxa"/>
            <w:gridSpan w:val="2"/>
            <w:vAlign w:val="center"/>
          </w:tcPr>
          <w:p w14:paraId="584F5E17"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39</w:t>
            </w:r>
          </w:p>
        </w:tc>
      </w:tr>
      <w:tr w:rsidR="00D22DE5" w:rsidRPr="00714378" w14:paraId="35BE386C" w14:textId="77777777" w:rsidTr="00487C4E">
        <w:trPr>
          <w:jc w:val="center"/>
        </w:trPr>
        <w:tc>
          <w:tcPr>
            <w:tcW w:w="6006" w:type="dxa"/>
            <w:tcBorders>
              <w:bottom w:val="single" w:sz="4" w:space="0" w:color="auto"/>
            </w:tcBorders>
          </w:tcPr>
          <w:p w14:paraId="6FA4EFCD"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Mean ± Standard Deviation</w:t>
            </w:r>
          </w:p>
        </w:tc>
        <w:tc>
          <w:tcPr>
            <w:tcW w:w="2498" w:type="dxa"/>
            <w:gridSpan w:val="2"/>
            <w:tcBorders>
              <w:bottom w:val="single" w:sz="4" w:space="0" w:color="auto"/>
            </w:tcBorders>
            <w:vAlign w:val="center"/>
          </w:tcPr>
          <w:p w14:paraId="25908EAD"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28.62 ± 4.36</w:t>
            </w:r>
          </w:p>
        </w:tc>
      </w:tr>
      <w:tr w:rsidR="00D22DE5" w:rsidRPr="00714378" w14:paraId="2CE90FFB" w14:textId="77777777" w:rsidTr="00487C4E">
        <w:trPr>
          <w:jc w:val="center"/>
        </w:trPr>
        <w:tc>
          <w:tcPr>
            <w:tcW w:w="8504" w:type="dxa"/>
            <w:gridSpan w:val="3"/>
            <w:tcBorders>
              <w:top w:val="single" w:sz="4" w:space="0" w:color="auto"/>
            </w:tcBorders>
            <w:vAlign w:val="center"/>
          </w:tcPr>
          <w:p w14:paraId="5D875C34" w14:textId="77777777" w:rsidR="00D22DE5" w:rsidRPr="00714378" w:rsidRDefault="00D22DE5" w:rsidP="004E63A5">
            <w:pPr>
              <w:spacing w:line="240" w:lineRule="auto"/>
              <w:jc w:val="left"/>
              <w:rPr>
                <w:rFonts w:eastAsia="Calibri" w:cs="Times New Roman"/>
                <w:b/>
                <w:sz w:val="22"/>
              </w:rPr>
            </w:pPr>
            <w:r w:rsidRPr="00714378">
              <w:rPr>
                <w:rFonts w:eastAsia="Calibri" w:cs="Times New Roman"/>
                <w:b/>
                <w:sz w:val="22"/>
              </w:rPr>
              <w:t>Household Size</w:t>
            </w:r>
          </w:p>
        </w:tc>
      </w:tr>
      <w:tr w:rsidR="00D22DE5" w:rsidRPr="00714378" w14:paraId="38F2853A" w14:textId="77777777" w:rsidTr="00487C4E">
        <w:trPr>
          <w:jc w:val="center"/>
        </w:trPr>
        <w:tc>
          <w:tcPr>
            <w:tcW w:w="6006" w:type="dxa"/>
          </w:tcPr>
          <w:p w14:paraId="0416E8E7"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Minimum</w:t>
            </w:r>
          </w:p>
        </w:tc>
        <w:tc>
          <w:tcPr>
            <w:tcW w:w="2498" w:type="dxa"/>
            <w:gridSpan w:val="2"/>
            <w:vAlign w:val="center"/>
          </w:tcPr>
          <w:p w14:paraId="7DF19BCA"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2</w:t>
            </w:r>
          </w:p>
        </w:tc>
      </w:tr>
      <w:tr w:rsidR="00D22DE5" w:rsidRPr="00714378" w14:paraId="2F11ECBF" w14:textId="77777777" w:rsidTr="00487C4E">
        <w:trPr>
          <w:jc w:val="center"/>
        </w:trPr>
        <w:tc>
          <w:tcPr>
            <w:tcW w:w="6006" w:type="dxa"/>
          </w:tcPr>
          <w:p w14:paraId="4AEDCAD3"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Maximum</w:t>
            </w:r>
          </w:p>
        </w:tc>
        <w:tc>
          <w:tcPr>
            <w:tcW w:w="2498" w:type="dxa"/>
            <w:gridSpan w:val="2"/>
            <w:vAlign w:val="center"/>
          </w:tcPr>
          <w:p w14:paraId="1F8AE8CE" w14:textId="77777777" w:rsidR="00D22DE5" w:rsidRPr="00714378" w:rsidRDefault="00D22DE5" w:rsidP="004E63A5">
            <w:pPr>
              <w:spacing w:line="240" w:lineRule="auto"/>
              <w:jc w:val="center"/>
              <w:rPr>
                <w:rFonts w:eastAsia="Calibri" w:cs="Times New Roman"/>
                <w:sz w:val="22"/>
              </w:rPr>
            </w:pPr>
            <w:r w:rsidRPr="00714378">
              <w:rPr>
                <w:rFonts w:eastAsia="Calibri" w:cs="Times New Roman"/>
                <w:sz w:val="22"/>
              </w:rPr>
              <w:t>7</w:t>
            </w:r>
          </w:p>
        </w:tc>
      </w:tr>
      <w:tr w:rsidR="00D22DE5" w:rsidRPr="00AD13C8" w14:paraId="0F5A110C" w14:textId="77777777" w:rsidTr="00487C4E">
        <w:trPr>
          <w:jc w:val="center"/>
        </w:trPr>
        <w:tc>
          <w:tcPr>
            <w:tcW w:w="6006" w:type="dxa"/>
            <w:tcBorders>
              <w:bottom w:val="single" w:sz="4" w:space="0" w:color="auto"/>
            </w:tcBorders>
          </w:tcPr>
          <w:p w14:paraId="5DB420EB" w14:textId="77777777" w:rsidR="00D22DE5" w:rsidRPr="00AD13C8" w:rsidRDefault="00D22DE5" w:rsidP="004E63A5">
            <w:pPr>
              <w:spacing w:line="240" w:lineRule="auto"/>
              <w:jc w:val="center"/>
              <w:rPr>
                <w:rFonts w:eastAsia="Calibri" w:cs="Times New Roman"/>
                <w:b/>
                <w:sz w:val="22"/>
              </w:rPr>
            </w:pPr>
            <w:r w:rsidRPr="00AD13C8">
              <w:rPr>
                <w:rFonts w:eastAsia="Calibri" w:cs="Times New Roman"/>
                <w:b/>
                <w:sz w:val="22"/>
              </w:rPr>
              <w:t>Mean ± Standard Deviation</w:t>
            </w:r>
          </w:p>
        </w:tc>
        <w:tc>
          <w:tcPr>
            <w:tcW w:w="2498" w:type="dxa"/>
            <w:gridSpan w:val="2"/>
            <w:tcBorders>
              <w:bottom w:val="single" w:sz="4" w:space="0" w:color="auto"/>
            </w:tcBorders>
            <w:vAlign w:val="center"/>
          </w:tcPr>
          <w:p w14:paraId="625FC6CA" w14:textId="77777777" w:rsidR="00D22DE5" w:rsidRPr="00AD13C8" w:rsidRDefault="00D22DE5" w:rsidP="004E63A5">
            <w:pPr>
              <w:spacing w:line="240" w:lineRule="auto"/>
              <w:jc w:val="center"/>
              <w:rPr>
                <w:rFonts w:eastAsia="Calibri" w:cs="Times New Roman"/>
                <w:b/>
                <w:sz w:val="22"/>
              </w:rPr>
            </w:pPr>
            <w:r w:rsidRPr="00AD13C8">
              <w:rPr>
                <w:rFonts w:eastAsia="Calibri" w:cs="Times New Roman"/>
                <w:b/>
                <w:sz w:val="22"/>
              </w:rPr>
              <w:t>3.43 ± 1.13</w:t>
            </w:r>
          </w:p>
        </w:tc>
      </w:tr>
    </w:tbl>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gridCol w:w="1214"/>
        <w:gridCol w:w="1254"/>
      </w:tblGrid>
      <w:tr w:rsidR="000D0B9C" w:rsidRPr="00AD13C8" w14:paraId="398DE76B" w14:textId="77777777" w:rsidTr="000D0B9C">
        <w:trPr>
          <w:jc w:val="center"/>
        </w:trPr>
        <w:tc>
          <w:tcPr>
            <w:tcW w:w="6037" w:type="dxa"/>
            <w:tcBorders>
              <w:top w:val="single" w:sz="4" w:space="0" w:color="auto"/>
            </w:tcBorders>
          </w:tcPr>
          <w:p w14:paraId="0C02CA97" w14:textId="580EF052" w:rsidR="000D0B9C" w:rsidRPr="00AD13C8" w:rsidRDefault="000D0B9C" w:rsidP="00E0051F">
            <w:pPr>
              <w:jc w:val="left"/>
              <w:rPr>
                <w:rFonts w:eastAsia="Calibri" w:cs="Times New Roman"/>
                <w:b/>
                <w:sz w:val="22"/>
              </w:rPr>
            </w:pPr>
            <w:r w:rsidRPr="00AD13C8">
              <w:rPr>
                <w:rFonts w:eastAsia="Calibri" w:cs="Times New Roman"/>
                <w:b/>
                <w:sz w:val="22"/>
              </w:rPr>
              <w:t xml:space="preserve">Current </w:t>
            </w:r>
            <w:r w:rsidR="009214CA" w:rsidRPr="00AD13C8">
              <w:rPr>
                <w:rFonts w:eastAsia="Calibri" w:cs="Times New Roman"/>
                <w:b/>
                <w:sz w:val="22"/>
              </w:rPr>
              <w:t>living arrangement</w:t>
            </w:r>
          </w:p>
        </w:tc>
        <w:tc>
          <w:tcPr>
            <w:tcW w:w="1214" w:type="dxa"/>
            <w:tcBorders>
              <w:top w:val="single" w:sz="4" w:space="0" w:color="auto"/>
            </w:tcBorders>
            <w:vAlign w:val="center"/>
          </w:tcPr>
          <w:p w14:paraId="6222CA56" w14:textId="77777777" w:rsidR="000D0B9C" w:rsidRPr="00AD13C8" w:rsidRDefault="000D0B9C" w:rsidP="00E0051F">
            <w:pPr>
              <w:jc w:val="center"/>
              <w:rPr>
                <w:rFonts w:eastAsia="Calibri" w:cs="Times New Roman"/>
                <w:b/>
                <w:sz w:val="22"/>
              </w:rPr>
            </w:pPr>
          </w:p>
        </w:tc>
        <w:tc>
          <w:tcPr>
            <w:tcW w:w="1254" w:type="dxa"/>
            <w:tcBorders>
              <w:top w:val="single" w:sz="4" w:space="0" w:color="auto"/>
            </w:tcBorders>
            <w:vAlign w:val="center"/>
          </w:tcPr>
          <w:p w14:paraId="6BB92A05" w14:textId="77777777" w:rsidR="000D0B9C" w:rsidRPr="00AD13C8" w:rsidRDefault="000D0B9C" w:rsidP="00E0051F">
            <w:pPr>
              <w:jc w:val="center"/>
              <w:rPr>
                <w:rFonts w:eastAsia="Calibri" w:cs="Times New Roman"/>
                <w:b/>
                <w:sz w:val="22"/>
              </w:rPr>
            </w:pPr>
          </w:p>
        </w:tc>
      </w:tr>
      <w:tr w:rsidR="000D0B9C" w:rsidRPr="006D12D2" w14:paraId="4A294FC9" w14:textId="77777777" w:rsidTr="000D0B9C">
        <w:trPr>
          <w:jc w:val="center"/>
        </w:trPr>
        <w:tc>
          <w:tcPr>
            <w:tcW w:w="6037" w:type="dxa"/>
          </w:tcPr>
          <w:p w14:paraId="13F3D967" w14:textId="77777777" w:rsidR="000D0B9C" w:rsidRPr="006D12D2" w:rsidRDefault="000D0B9C" w:rsidP="00E0051F">
            <w:pPr>
              <w:jc w:val="center"/>
              <w:rPr>
                <w:rFonts w:eastAsia="Calibri" w:cs="Times New Roman"/>
                <w:sz w:val="22"/>
              </w:rPr>
            </w:pPr>
            <w:r w:rsidRPr="006D12D2">
              <w:rPr>
                <w:rFonts w:eastAsia="Calibri" w:cs="Times New Roman"/>
                <w:sz w:val="22"/>
              </w:rPr>
              <w:t>Currently own</w:t>
            </w:r>
          </w:p>
        </w:tc>
        <w:tc>
          <w:tcPr>
            <w:tcW w:w="1214" w:type="dxa"/>
            <w:vAlign w:val="center"/>
          </w:tcPr>
          <w:p w14:paraId="0CE7FC9E" w14:textId="77777777" w:rsidR="000D0B9C" w:rsidRPr="006D12D2" w:rsidRDefault="000D0B9C" w:rsidP="00E0051F">
            <w:pPr>
              <w:jc w:val="center"/>
              <w:rPr>
                <w:rFonts w:eastAsia="Calibri" w:cs="Times New Roman"/>
                <w:sz w:val="22"/>
              </w:rPr>
            </w:pPr>
            <w:r w:rsidRPr="006D12D2">
              <w:rPr>
                <w:rFonts w:eastAsia="Calibri" w:cs="Times New Roman"/>
                <w:sz w:val="22"/>
              </w:rPr>
              <w:t>97</w:t>
            </w:r>
          </w:p>
        </w:tc>
        <w:tc>
          <w:tcPr>
            <w:tcW w:w="1254" w:type="dxa"/>
            <w:vAlign w:val="center"/>
          </w:tcPr>
          <w:p w14:paraId="3AD2F5B7" w14:textId="77777777" w:rsidR="000D0B9C" w:rsidRPr="006D12D2" w:rsidRDefault="000D0B9C" w:rsidP="00E0051F">
            <w:pPr>
              <w:jc w:val="center"/>
              <w:rPr>
                <w:rFonts w:eastAsia="Calibri" w:cs="Times New Roman"/>
                <w:sz w:val="22"/>
              </w:rPr>
            </w:pPr>
            <w:r w:rsidRPr="006D12D2">
              <w:rPr>
                <w:rFonts w:eastAsia="Calibri" w:cs="Times New Roman"/>
                <w:sz w:val="22"/>
              </w:rPr>
              <w:t>24.5</w:t>
            </w:r>
          </w:p>
        </w:tc>
      </w:tr>
      <w:tr w:rsidR="000D0B9C" w:rsidRPr="006D12D2" w14:paraId="77F89756" w14:textId="77777777" w:rsidTr="000D0B9C">
        <w:trPr>
          <w:jc w:val="center"/>
        </w:trPr>
        <w:tc>
          <w:tcPr>
            <w:tcW w:w="6037" w:type="dxa"/>
          </w:tcPr>
          <w:p w14:paraId="2DE6B7D9" w14:textId="77777777" w:rsidR="000D0B9C" w:rsidRPr="006D12D2" w:rsidRDefault="000D0B9C" w:rsidP="00E0051F">
            <w:pPr>
              <w:jc w:val="center"/>
              <w:rPr>
                <w:rFonts w:eastAsia="Calibri" w:cs="Times New Roman"/>
                <w:sz w:val="22"/>
              </w:rPr>
            </w:pPr>
            <w:r w:rsidRPr="006D12D2">
              <w:rPr>
                <w:rFonts w:eastAsia="Calibri" w:cs="Times New Roman"/>
                <w:sz w:val="22"/>
              </w:rPr>
              <w:t>Renting</w:t>
            </w:r>
          </w:p>
        </w:tc>
        <w:tc>
          <w:tcPr>
            <w:tcW w:w="1214" w:type="dxa"/>
            <w:vAlign w:val="center"/>
          </w:tcPr>
          <w:p w14:paraId="0727D3E8" w14:textId="77777777" w:rsidR="000D0B9C" w:rsidRPr="006D12D2" w:rsidRDefault="000D0B9C" w:rsidP="00E0051F">
            <w:pPr>
              <w:jc w:val="center"/>
              <w:rPr>
                <w:rFonts w:eastAsia="Calibri" w:cs="Times New Roman"/>
                <w:sz w:val="22"/>
              </w:rPr>
            </w:pPr>
            <w:r w:rsidRPr="006D12D2">
              <w:rPr>
                <w:rFonts w:eastAsia="Calibri" w:cs="Times New Roman"/>
                <w:sz w:val="22"/>
              </w:rPr>
              <w:t>90</w:t>
            </w:r>
          </w:p>
        </w:tc>
        <w:tc>
          <w:tcPr>
            <w:tcW w:w="1254" w:type="dxa"/>
            <w:vAlign w:val="center"/>
          </w:tcPr>
          <w:p w14:paraId="1DF9171E" w14:textId="77777777" w:rsidR="000D0B9C" w:rsidRPr="006D12D2" w:rsidRDefault="000D0B9C" w:rsidP="00E0051F">
            <w:pPr>
              <w:jc w:val="center"/>
              <w:rPr>
                <w:rFonts w:eastAsia="Calibri" w:cs="Times New Roman"/>
                <w:sz w:val="22"/>
              </w:rPr>
            </w:pPr>
            <w:r w:rsidRPr="006D12D2">
              <w:rPr>
                <w:rFonts w:eastAsia="Calibri" w:cs="Times New Roman"/>
                <w:sz w:val="22"/>
              </w:rPr>
              <w:t>22.7</w:t>
            </w:r>
          </w:p>
        </w:tc>
      </w:tr>
      <w:tr w:rsidR="000D0B9C" w:rsidRPr="006D12D2" w14:paraId="4EF7A80A" w14:textId="77777777" w:rsidTr="000D0B9C">
        <w:trPr>
          <w:jc w:val="center"/>
        </w:trPr>
        <w:tc>
          <w:tcPr>
            <w:tcW w:w="6037" w:type="dxa"/>
          </w:tcPr>
          <w:p w14:paraId="16D2BC59" w14:textId="77777777" w:rsidR="000D0B9C" w:rsidRPr="006D12D2" w:rsidRDefault="000D0B9C" w:rsidP="00E0051F">
            <w:pPr>
              <w:jc w:val="center"/>
              <w:rPr>
                <w:rFonts w:eastAsia="Calibri" w:cs="Times New Roman"/>
                <w:sz w:val="22"/>
              </w:rPr>
            </w:pPr>
            <w:r w:rsidRPr="006D12D2">
              <w:rPr>
                <w:rFonts w:eastAsia="Calibri" w:cs="Times New Roman"/>
                <w:sz w:val="22"/>
              </w:rPr>
              <w:t>Rent with co-tenants</w:t>
            </w:r>
          </w:p>
        </w:tc>
        <w:tc>
          <w:tcPr>
            <w:tcW w:w="1214" w:type="dxa"/>
            <w:vAlign w:val="center"/>
          </w:tcPr>
          <w:p w14:paraId="2D9070C9" w14:textId="77777777" w:rsidR="000D0B9C" w:rsidRPr="006D12D2" w:rsidRDefault="000D0B9C" w:rsidP="00E0051F">
            <w:pPr>
              <w:jc w:val="center"/>
              <w:rPr>
                <w:rFonts w:eastAsia="Calibri" w:cs="Times New Roman"/>
                <w:sz w:val="22"/>
              </w:rPr>
            </w:pPr>
            <w:r w:rsidRPr="006D12D2">
              <w:rPr>
                <w:rFonts w:eastAsia="Calibri" w:cs="Times New Roman"/>
                <w:sz w:val="22"/>
              </w:rPr>
              <w:t>98</w:t>
            </w:r>
          </w:p>
        </w:tc>
        <w:tc>
          <w:tcPr>
            <w:tcW w:w="1254" w:type="dxa"/>
            <w:vAlign w:val="center"/>
          </w:tcPr>
          <w:p w14:paraId="19438951" w14:textId="77777777" w:rsidR="000D0B9C" w:rsidRPr="006D12D2" w:rsidRDefault="000D0B9C" w:rsidP="00E0051F">
            <w:pPr>
              <w:jc w:val="center"/>
              <w:rPr>
                <w:rFonts w:eastAsia="Calibri" w:cs="Times New Roman"/>
                <w:sz w:val="22"/>
              </w:rPr>
            </w:pPr>
            <w:r w:rsidRPr="006D12D2">
              <w:rPr>
                <w:rFonts w:eastAsia="Calibri" w:cs="Times New Roman"/>
                <w:sz w:val="22"/>
              </w:rPr>
              <w:t>24.7</w:t>
            </w:r>
          </w:p>
        </w:tc>
      </w:tr>
      <w:tr w:rsidR="000D0B9C" w:rsidRPr="006D12D2" w14:paraId="025CD112" w14:textId="77777777" w:rsidTr="000D0B9C">
        <w:trPr>
          <w:jc w:val="center"/>
        </w:trPr>
        <w:tc>
          <w:tcPr>
            <w:tcW w:w="6037" w:type="dxa"/>
            <w:tcBorders>
              <w:bottom w:val="single" w:sz="4" w:space="0" w:color="auto"/>
            </w:tcBorders>
          </w:tcPr>
          <w:p w14:paraId="0DF669A4" w14:textId="77777777" w:rsidR="000D0B9C" w:rsidRPr="006D12D2" w:rsidRDefault="000D0B9C" w:rsidP="00E0051F">
            <w:pPr>
              <w:jc w:val="center"/>
              <w:rPr>
                <w:rFonts w:eastAsia="Calibri" w:cs="Times New Roman"/>
                <w:sz w:val="22"/>
              </w:rPr>
            </w:pPr>
            <w:r w:rsidRPr="006D12D2">
              <w:rPr>
                <w:rFonts w:eastAsia="Calibri" w:cs="Times New Roman"/>
                <w:sz w:val="22"/>
              </w:rPr>
              <w:t>Living with family or relatives</w:t>
            </w:r>
          </w:p>
        </w:tc>
        <w:tc>
          <w:tcPr>
            <w:tcW w:w="1214" w:type="dxa"/>
            <w:tcBorders>
              <w:bottom w:val="single" w:sz="4" w:space="0" w:color="auto"/>
            </w:tcBorders>
            <w:vAlign w:val="center"/>
          </w:tcPr>
          <w:p w14:paraId="413F8288" w14:textId="77777777" w:rsidR="000D0B9C" w:rsidRPr="006D12D2" w:rsidRDefault="000D0B9C" w:rsidP="00E0051F">
            <w:pPr>
              <w:jc w:val="center"/>
              <w:rPr>
                <w:rFonts w:eastAsia="Calibri" w:cs="Times New Roman"/>
                <w:sz w:val="22"/>
              </w:rPr>
            </w:pPr>
            <w:r w:rsidRPr="006D12D2">
              <w:rPr>
                <w:rFonts w:eastAsia="Calibri" w:cs="Times New Roman"/>
                <w:sz w:val="22"/>
              </w:rPr>
              <w:t>111</w:t>
            </w:r>
          </w:p>
        </w:tc>
        <w:tc>
          <w:tcPr>
            <w:tcW w:w="1254" w:type="dxa"/>
            <w:tcBorders>
              <w:bottom w:val="single" w:sz="4" w:space="0" w:color="auto"/>
            </w:tcBorders>
            <w:vAlign w:val="center"/>
          </w:tcPr>
          <w:p w14:paraId="3C7F7FF6" w14:textId="77777777" w:rsidR="000D0B9C" w:rsidRPr="006D12D2" w:rsidRDefault="000D0B9C" w:rsidP="00E0051F">
            <w:pPr>
              <w:jc w:val="center"/>
              <w:rPr>
                <w:rFonts w:eastAsia="Calibri" w:cs="Times New Roman"/>
                <w:sz w:val="22"/>
              </w:rPr>
            </w:pPr>
            <w:r w:rsidRPr="006D12D2">
              <w:rPr>
                <w:rFonts w:eastAsia="Calibri" w:cs="Times New Roman"/>
                <w:sz w:val="22"/>
              </w:rPr>
              <w:t>28.0</w:t>
            </w:r>
          </w:p>
        </w:tc>
      </w:tr>
    </w:tbl>
    <w:p w14:paraId="50887897" w14:textId="77777777" w:rsidR="00D22DE5" w:rsidRDefault="00D22DE5" w:rsidP="00E0051F">
      <w:pPr>
        <w:rPr>
          <w:lang w:eastAsia="ms-MY"/>
        </w:rPr>
      </w:pPr>
    </w:p>
    <w:p w14:paraId="72C294D2" w14:textId="730DC7E9" w:rsidR="00F47287" w:rsidRDefault="00CD4055" w:rsidP="004E63A5">
      <w:pPr>
        <w:pStyle w:val="Heading3"/>
        <w:spacing w:before="0"/>
        <w:rPr>
          <w:lang w:val="en-US"/>
        </w:rPr>
      </w:pPr>
      <w:r w:rsidRPr="00CD4055">
        <w:rPr>
          <w:lang w:val="en-US"/>
        </w:rPr>
        <w:t>Housing challenges among young people</w:t>
      </w:r>
      <w:r w:rsidR="0064479F">
        <w:rPr>
          <w:lang w:val="en-US"/>
        </w:rPr>
        <w:t xml:space="preserve"> – structural perspective</w:t>
      </w:r>
    </w:p>
    <w:p w14:paraId="1EE10FF9" w14:textId="175405B0" w:rsidR="002802AD" w:rsidRDefault="002528DC" w:rsidP="004E63A5">
      <w:pPr>
        <w:spacing w:after="0"/>
        <w:ind w:firstLine="720"/>
        <w:rPr>
          <w:rFonts w:eastAsia="Calibri" w:cs="Times New Roman"/>
          <w:szCs w:val="24"/>
        </w:rPr>
      </w:pPr>
      <w:r>
        <w:t>T</w:t>
      </w:r>
      <w:r w:rsidR="00590DF1" w:rsidRPr="00BA12CE">
        <w:t>he challenges faced by young people in the</w:t>
      </w:r>
      <w:r w:rsidR="00590DF1">
        <w:t>ir pursuit of adequate housing can be seen from the perspective of structural.</w:t>
      </w:r>
      <w:r w:rsidR="00AD13C8" w:rsidRPr="00AD13C8">
        <w:rPr>
          <w:lang w:eastAsia="ms-MY"/>
        </w:rPr>
        <w:t xml:space="preserve"> </w:t>
      </w:r>
      <w:r w:rsidR="00AD13C8" w:rsidRPr="0052206A">
        <w:rPr>
          <w:lang w:eastAsia="ms-MY"/>
        </w:rPr>
        <w:t>The structural refers to the organisational aspect which, in this study, consist</w:t>
      </w:r>
      <w:r w:rsidR="00AD13C8">
        <w:rPr>
          <w:lang w:eastAsia="ms-MY"/>
        </w:rPr>
        <w:t>ed of</w:t>
      </w:r>
      <w:r w:rsidR="00AD13C8" w:rsidRPr="0052206A">
        <w:rPr>
          <w:lang w:eastAsia="ms-MY"/>
        </w:rPr>
        <w:t xml:space="preserve"> elements such as government practice (i.e., housing policy, legislation, scheme</w:t>
      </w:r>
      <w:r w:rsidR="00AD13C8">
        <w:rPr>
          <w:lang w:eastAsia="ms-MY"/>
        </w:rPr>
        <w:t>s</w:t>
      </w:r>
      <w:r w:rsidR="00AD13C8" w:rsidRPr="0052206A">
        <w:rPr>
          <w:lang w:eastAsia="ms-MY"/>
        </w:rPr>
        <w:t>, assistance, subsidies) and housing system (i.e., housing deposit, booking and processing fees, stricter eligibility rules, availability of affordable housing</w:t>
      </w:r>
      <w:r w:rsidR="00AD13C8">
        <w:rPr>
          <w:lang w:eastAsia="ms-MY"/>
        </w:rPr>
        <w:t>,</w:t>
      </w:r>
      <w:r w:rsidR="00AD13C8" w:rsidRPr="0052206A">
        <w:rPr>
          <w:lang w:eastAsia="ms-MY"/>
        </w:rPr>
        <w:t xml:space="preserve"> and access to home financing).</w:t>
      </w:r>
      <w:r w:rsidR="00590DF1">
        <w:t xml:space="preserve"> </w:t>
      </w:r>
      <w:r w:rsidRPr="002528DC">
        <w:rPr>
          <w:lang w:val="en-GB"/>
        </w:rPr>
        <w:t xml:space="preserve">The result of the findings shows that most of the respondents agreed that they were </w:t>
      </w:r>
      <w:r w:rsidRPr="002528DC">
        <w:rPr>
          <w:lang w:val="en-GB"/>
        </w:rPr>
        <w:lastRenderedPageBreak/>
        <w:t xml:space="preserve">faced with all of the structural challenges listed in the survey (Table </w:t>
      </w:r>
      <w:r>
        <w:rPr>
          <w:lang w:val="en-GB"/>
        </w:rPr>
        <w:t>2</w:t>
      </w:r>
      <w:r w:rsidRPr="002528DC">
        <w:rPr>
          <w:lang w:val="en-GB"/>
        </w:rPr>
        <w:t xml:space="preserve">). </w:t>
      </w:r>
      <w:r w:rsidR="00A9650A" w:rsidRPr="0052206A">
        <w:rPr>
          <w:rFonts w:eastAsia="Calibri" w:cs="Times New Roman"/>
          <w:szCs w:val="24"/>
        </w:rPr>
        <w:t>Though the respondents agree</w:t>
      </w:r>
      <w:r w:rsidR="00A9650A">
        <w:rPr>
          <w:rFonts w:eastAsia="Calibri" w:cs="Times New Roman"/>
          <w:szCs w:val="24"/>
        </w:rPr>
        <w:t>d</w:t>
      </w:r>
      <w:r w:rsidR="00A9650A" w:rsidRPr="0052206A">
        <w:rPr>
          <w:rFonts w:eastAsia="Calibri" w:cs="Times New Roman"/>
          <w:szCs w:val="24"/>
        </w:rPr>
        <w:t xml:space="preserve"> that they </w:t>
      </w:r>
      <w:r w:rsidR="00A9650A">
        <w:rPr>
          <w:rFonts w:eastAsia="Calibri" w:cs="Times New Roman"/>
          <w:szCs w:val="24"/>
        </w:rPr>
        <w:t xml:space="preserve">were </w:t>
      </w:r>
      <w:r w:rsidR="00A9650A" w:rsidRPr="0052206A">
        <w:rPr>
          <w:rFonts w:eastAsia="Calibri" w:cs="Times New Roman"/>
          <w:szCs w:val="24"/>
        </w:rPr>
        <w:t xml:space="preserve">faced with all </w:t>
      </w:r>
      <w:r w:rsidR="00A9650A">
        <w:rPr>
          <w:rFonts w:eastAsia="Calibri" w:cs="Times New Roman"/>
          <w:szCs w:val="24"/>
        </w:rPr>
        <w:t xml:space="preserve">of the </w:t>
      </w:r>
      <w:r w:rsidR="00A9650A" w:rsidRPr="0052206A">
        <w:rPr>
          <w:rFonts w:eastAsia="Calibri" w:cs="Times New Roman"/>
          <w:szCs w:val="24"/>
        </w:rPr>
        <w:t xml:space="preserve">challenges listed in the survey related to </w:t>
      </w:r>
      <w:r w:rsidR="00A9650A">
        <w:rPr>
          <w:rFonts w:eastAsia="Calibri" w:cs="Times New Roman"/>
          <w:szCs w:val="24"/>
        </w:rPr>
        <w:t xml:space="preserve">the </w:t>
      </w:r>
      <w:r w:rsidR="00A9650A" w:rsidRPr="0052206A">
        <w:rPr>
          <w:rFonts w:eastAsia="Calibri" w:cs="Times New Roman"/>
          <w:szCs w:val="24"/>
        </w:rPr>
        <w:t>structural aspects, based on the highest RII value, three major challenges faced by the respondents were young people faced difficulties related to stricter eligibility rules from financial institutions (RII = 84.5%), high housing deposit (82.3%)</w:t>
      </w:r>
      <w:r w:rsidR="00A9650A">
        <w:rPr>
          <w:rFonts w:eastAsia="Calibri" w:cs="Times New Roman"/>
          <w:szCs w:val="24"/>
        </w:rPr>
        <w:t>,</w:t>
      </w:r>
      <w:r w:rsidR="00A9650A" w:rsidRPr="0052206A">
        <w:rPr>
          <w:rFonts w:eastAsia="Calibri" w:cs="Times New Roman"/>
          <w:szCs w:val="24"/>
        </w:rPr>
        <w:t xml:space="preserve"> and the shortage of availability of affordable housing (RII = 82%). These challenges were ranked as the top three challenges facing them due to </w:t>
      </w:r>
      <w:r w:rsidR="00A9650A">
        <w:rPr>
          <w:rFonts w:eastAsia="Calibri" w:cs="Times New Roman"/>
          <w:szCs w:val="24"/>
        </w:rPr>
        <w:t>having the</w:t>
      </w:r>
      <w:r w:rsidR="00A9650A" w:rsidRPr="0052206A">
        <w:rPr>
          <w:rFonts w:eastAsia="Calibri" w:cs="Times New Roman"/>
          <w:szCs w:val="24"/>
        </w:rPr>
        <w:t xml:space="preserve"> highest values of </w:t>
      </w:r>
      <w:r w:rsidR="00A9650A">
        <w:rPr>
          <w:rFonts w:eastAsia="Calibri" w:cs="Times New Roman"/>
          <w:szCs w:val="24"/>
        </w:rPr>
        <w:t xml:space="preserve">the </w:t>
      </w:r>
      <w:r w:rsidR="00A9650A" w:rsidRPr="0052206A">
        <w:rPr>
          <w:rFonts w:eastAsia="Calibri" w:cs="Times New Roman"/>
          <w:szCs w:val="24"/>
        </w:rPr>
        <w:t>RII analysis.</w:t>
      </w:r>
    </w:p>
    <w:p w14:paraId="0D6AECF5" w14:textId="77777777" w:rsidR="009237D9" w:rsidRDefault="009237D9" w:rsidP="004E63A5">
      <w:pPr>
        <w:spacing w:after="0"/>
        <w:ind w:firstLine="720"/>
        <w:rPr>
          <w:rFonts w:eastAsia="Calibri" w:cs="Times New Roman"/>
          <w:szCs w:val="24"/>
        </w:rPr>
      </w:pPr>
    </w:p>
    <w:p w14:paraId="3508321A" w14:textId="67FA6B1B" w:rsidR="002802AD" w:rsidRPr="002802AD" w:rsidRDefault="002802AD" w:rsidP="009237D9">
      <w:pPr>
        <w:pStyle w:val="Caption"/>
        <w:jc w:val="center"/>
        <w:rPr>
          <w:rFonts w:eastAsia="Calibri" w:cs="Times New Roman"/>
          <w:i w:val="0"/>
          <w:color w:val="auto"/>
          <w:sz w:val="24"/>
          <w:szCs w:val="24"/>
          <w:lang w:val="en-US"/>
        </w:rPr>
      </w:pPr>
      <w:r w:rsidRPr="003B1037">
        <w:rPr>
          <w:i w:val="0"/>
          <w:color w:val="auto"/>
          <w:sz w:val="24"/>
          <w:szCs w:val="24"/>
        </w:rPr>
        <w:t xml:space="preserve">Table </w:t>
      </w:r>
      <w:r>
        <w:rPr>
          <w:i w:val="0"/>
          <w:color w:val="auto"/>
          <w:sz w:val="24"/>
          <w:szCs w:val="24"/>
        </w:rPr>
        <w:t>2</w:t>
      </w:r>
      <w:r w:rsidRPr="003B1037">
        <w:rPr>
          <w:i w:val="0"/>
          <w:color w:val="auto"/>
          <w:sz w:val="24"/>
          <w:szCs w:val="24"/>
        </w:rPr>
        <w:t xml:space="preserve">: Descriptive and RII Analysis for </w:t>
      </w:r>
      <w:r>
        <w:rPr>
          <w:i w:val="0"/>
          <w:color w:val="auto"/>
          <w:sz w:val="24"/>
          <w:szCs w:val="24"/>
        </w:rPr>
        <w:t>the Structural Challenges Faced by t</w:t>
      </w:r>
      <w:r w:rsidRPr="003B1037">
        <w:rPr>
          <w:i w:val="0"/>
          <w:color w:val="auto"/>
          <w:sz w:val="24"/>
          <w:szCs w:val="24"/>
        </w:rPr>
        <w:t xml:space="preserve">he Respondents </w:t>
      </w:r>
    </w:p>
    <w:tbl>
      <w:tblPr>
        <w:tblStyle w:val="TableGrid1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637"/>
        <w:gridCol w:w="743"/>
        <w:gridCol w:w="743"/>
        <w:gridCol w:w="637"/>
        <w:gridCol w:w="743"/>
        <w:gridCol w:w="743"/>
        <w:gridCol w:w="743"/>
        <w:gridCol w:w="748"/>
        <w:gridCol w:w="600"/>
        <w:gridCol w:w="709"/>
      </w:tblGrid>
      <w:tr w:rsidR="002802AD" w:rsidRPr="005F1135" w14:paraId="46379D77"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3E4B2C"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Indicator</w:t>
            </w:r>
          </w:p>
        </w:tc>
        <w:tc>
          <w:tcPr>
            <w:tcW w:w="353" w:type="pct"/>
            <w:tcBorders>
              <w:top w:val="single" w:sz="4" w:space="0" w:color="auto"/>
              <w:left w:val="single" w:sz="4" w:space="0" w:color="auto"/>
              <w:bottom w:val="single" w:sz="4" w:space="0" w:color="auto"/>
            </w:tcBorders>
            <w:shd w:val="clear" w:color="auto" w:fill="B4C6E7" w:themeFill="accent1" w:themeFillTint="66"/>
            <w:vAlign w:val="center"/>
          </w:tcPr>
          <w:p w14:paraId="16D6C4FB"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1</w:t>
            </w:r>
          </w:p>
        </w:tc>
        <w:tc>
          <w:tcPr>
            <w:tcW w:w="412" w:type="pct"/>
            <w:tcBorders>
              <w:top w:val="single" w:sz="4" w:space="0" w:color="auto"/>
              <w:bottom w:val="single" w:sz="4" w:space="0" w:color="auto"/>
            </w:tcBorders>
            <w:shd w:val="clear" w:color="auto" w:fill="B4C6E7" w:themeFill="accent1" w:themeFillTint="66"/>
            <w:vAlign w:val="center"/>
          </w:tcPr>
          <w:p w14:paraId="484F9D89"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2</w:t>
            </w:r>
          </w:p>
        </w:tc>
        <w:tc>
          <w:tcPr>
            <w:tcW w:w="412" w:type="pct"/>
            <w:tcBorders>
              <w:top w:val="single" w:sz="4" w:space="0" w:color="auto"/>
              <w:bottom w:val="single" w:sz="4" w:space="0" w:color="auto"/>
            </w:tcBorders>
            <w:shd w:val="clear" w:color="auto" w:fill="B4C6E7" w:themeFill="accent1" w:themeFillTint="66"/>
            <w:vAlign w:val="center"/>
          </w:tcPr>
          <w:p w14:paraId="315B6E22"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3</w:t>
            </w:r>
          </w:p>
        </w:tc>
        <w:tc>
          <w:tcPr>
            <w:tcW w:w="353" w:type="pct"/>
            <w:tcBorders>
              <w:top w:val="single" w:sz="4" w:space="0" w:color="auto"/>
              <w:bottom w:val="single" w:sz="4" w:space="0" w:color="auto"/>
            </w:tcBorders>
            <w:shd w:val="clear" w:color="auto" w:fill="B4C6E7" w:themeFill="accent1" w:themeFillTint="66"/>
            <w:vAlign w:val="center"/>
          </w:tcPr>
          <w:p w14:paraId="1B9CCE45"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4</w:t>
            </w:r>
          </w:p>
        </w:tc>
        <w:tc>
          <w:tcPr>
            <w:tcW w:w="412" w:type="pct"/>
            <w:tcBorders>
              <w:top w:val="single" w:sz="4" w:space="0" w:color="auto"/>
              <w:bottom w:val="single" w:sz="4" w:space="0" w:color="auto"/>
            </w:tcBorders>
            <w:shd w:val="clear" w:color="auto" w:fill="B4C6E7" w:themeFill="accent1" w:themeFillTint="66"/>
            <w:vAlign w:val="center"/>
          </w:tcPr>
          <w:p w14:paraId="69A1DE38"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5</w:t>
            </w:r>
          </w:p>
        </w:tc>
        <w:tc>
          <w:tcPr>
            <w:tcW w:w="412" w:type="pct"/>
            <w:tcBorders>
              <w:top w:val="single" w:sz="4" w:space="0" w:color="auto"/>
              <w:bottom w:val="single" w:sz="4" w:space="0" w:color="auto"/>
            </w:tcBorders>
            <w:shd w:val="clear" w:color="auto" w:fill="B4C6E7" w:themeFill="accent1" w:themeFillTint="66"/>
            <w:vAlign w:val="center"/>
          </w:tcPr>
          <w:p w14:paraId="01D6EA2E"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6</w:t>
            </w:r>
          </w:p>
        </w:tc>
        <w:tc>
          <w:tcPr>
            <w:tcW w:w="412" w:type="pct"/>
            <w:tcBorders>
              <w:top w:val="single" w:sz="4" w:space="0" w:color="auto"/>
              <w:bottom w:val="single" w:sz="4" w:space="0" w:color="auto"/>
            </w:tcBorders>
            <w:shd w:val="clear" w:color="auto" w:fill="B4C6E7" w:themeFill="accent1" w:themeFillTint="66"/>
            <w:vAlign w:val="center"/>
          </w:tcPr>
          <w:p w14:paraId="2CE2A667"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7</w:t>
            </w:r>
          </w:p>
        </w:tc>
        <w:tc>
          <w:tcPr>
            <w:tcW w:w="415" w:type="pct"/>
            <w:tcBorders>
              <w:top w:val="single" w:sz="4" w:space="0" w:color="auto"/>
              <w:bottom w:val="single" w:sz="4" w:space="0" w:color="auto"/>
            </w:tcBorders>
            <w:shd w:val="clear" w:color="auto" w:fill="B4C6E7" w:themeFill="accent1" w:themeFillTint="66"/>
            <w:vAlign w:val="center"/>
          </w:tcPr>
          <w:p w14:paraId="0E168009"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Mean</w:t>
            </w:r>
          </w:p>
        </w:tc>
        <w:tc>
          <w:tcPr>
            <w:tcW w:w="333" w:type="pct"/>
            <w:tcBorders>
              <w:top w:val="single" w:sz="4" w:space="0" w:color="auto"/>
              <w:bottom w:val="single" w:sz="4" w:space="0" w:color="auto"/>
            </w:tcBorders>
            <w:shd w:val="clear" w:color="auto" w:fill="B4C6E7" w:themeFill="accent1" w:themeFillTint="66"/>
            <w:vAlign w:val="center"/>
          </w:tcPr>
          <w:p w14:paraId="103A8FBF"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SD</w:t>
            </w:r>
          </w:p>
        </w:tc>
        <w:tc>
          <w:tcPr>
            <w:tcW w:w="393" w:type="pct"/>
            <w:tcBorders>
              <w:top w:val="single" w:sz="4" w:space="0" w:color="auto"/>
              <w:bottom w:val="single" w:sz="4" w:space="0" w:color="auto"/>
              <w:right w:val="single" w:sz="4" w:space="0" w:color="auto"/>
            </w:tcBorders>
            <w:shd w:val="clear" w:color="auto" w:fill="B4C6E7" w:themeFill="accent1" w:themeFillTint="66"/>
            <w:vAlign w:val="center"/>
          </w:tcPr>
          <w:p w14:paraId="31A947E3" w14:textId="77777777" w:rsidR="002802AD" w:rsidRPr="0011336D" w:rsidRDefault="002802AD" w:rsidP="004E63A5">
            <w:pPr>
              <w:spacing w:line="240" w:lineRule="auto"/>
              <w:jc w:val="center"/>
              <w:rPr>
                <w:rFonts w:eastAsia="Calibri" w:cs="Times New Roman"/>
                <w:b/>
                <w:sz w:val="20"/>
                <w:szCs w:val="20"/>
              </w:rPr>
            </w:pPr>
            <w:r w:rsidRPr="0011336D">
              <w:rPr>
                <w:rFonts w:eastAsia="Calibri" w:cs="Times New Roman"/>
                <w:b/>
                <w:sz w:val="20"/>
                <w:szCs w:val="20"/>
              </w:rPr>
              <w:t>RII</w:t>
            </w:r>
          </w:p>
        </w:tc>
      </w:tr>
      <w:tr w:rsidR="002802AD" w:rsidRPr="005F1135" w14:paraId="5743B664" w14:textId="77777777" w:rsidTr="00487C4E">
        <w:trPr>
          <w:trHeight w:val="22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A0BB71" w14:textId="77777777" w:rsidR="002802AD" w:rsidRPr="005F1135" w:rsidRDefault="002802AD" w:rsidP="004E63A5">
            <w:pPr>
              <w:spacing w:line="240" w:lineRule="auto"/>
              <w:jc w:val="center"/>
              <w:rPr>
                <w:rFonts w:eastAsia="Calibri" w:cs="Times New Roman"/>
                <w:b/>
                <w:sz w:val="20"/>
                <w:szCs w:val="20"/>
              </w:rPr>
            </w:pPr>
            <w:r w:rsidRPr="005F1135">
              <w:rPr>
                <w:rFonts w:eastAsia="Calibri" w:cs="Times New Roman"/>
                <w:b/>
                <w:sz w:val="20"/>
                <w:szCs w:val="20"/>
              </w:rPr>
              <w:t>Structural Challenges</w:t>
            </w:r>
          </w:p>
        </w:tc>
      </w:tr>
      <w:tr w:rsidR="002802AD" w:rsidRPr="005F1135" w14:paraId="2E4CD0C3"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5BB8FA16"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 xml:space="preserve">Lack of suitable housing schemes for </w:t>
            </w:r>
            <w:r>
              <w:rPr>
                <w:rFonts w:eastAsia="Calibri" w:cs="Times New Roman"/>
                <w:sz w:val="20"/>
                <w:szCs w:val="20"/>
              </w:rPr>
              <w:t>young people</w:t>
            </w:r>
          </w:p>
        </w:tc>
        <w:tc>
          <w:tcPr>
            <w:tcW w:w="353" w:type="pct"/>
            <w:tcBorders>
              <w:top w:val="single" w:sz="4" w:space="0" w:color="auto"/>
              <w:left w:val="single" w:sz="4" w:space="0" w:color="auto"/>
              <w:bottom w:val="single" w:sz="4" w:space="0" w:color="auto"/>
            </w:tcBorders>
            <w:vAlign w:val="center"/>
          </w:tcPr>
          <w:p w14:paraId="625EFD1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711FAEF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6789587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w:t>
            </w:r>
          </w:p>
          <w:p w14:paraId="1B13690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(4.1)</w:t>
            </w:r>
          </w:p>
        </w:tc>
        <w:tc>
          <w:tcPr>
            <w:tcW w:w="353" w:type="pct"/>
            <w:tcBorders>
              <w:top w:val="single" w:sz="4" w:space="0" w:color="auto"/>
              <w:bottom w:val="single" w:sz="4" w:space="0" w:color="auto"/>
            </w:tcBorders>
            <w:vAlign w:val="center"/>
          </w:tcPr>
          <w:p w14:paraId="52B11A4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w:t>
            </w:r>
          </w:p>
          <w:p w14:paraId="6F4A8689"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(2.1)</w:t>
            </w:r>
          </w:p>
        </w:tc>
        <w:tc>
          <w:tcPr>
            <w:tcW w:w="412" w:type="pct"/>
            <w:tcBorders>
              <w:top w:val="single" w:sz="4" w:space="0" w:color="auto"/>
              <w:bottom w:val="single" w:sz="4" w:space="0" w:color="auto"/>
            </w:tcBorders>
            <w:vAlign w:val="center"/>
          </w:tcPr>
          <w:p w14:paraId="1918271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36</w:t>
            </w:r>
          </w:p>
          <w:p w14:paraId="4E9F5CDD"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(37.1)</w:t>
            </w:r>
          </w:p>
        </w:tc>
        <w:tc>
          <w:tcPr>
            <w:tcW w:w="412" w:type="pct"/>
            <w:tcBorders>
              <w:top w:val="single" w:sz="4" w:space="0" w:color="auto"/>
              <w:bottom w:val="single" w:sz="4" w:space="0" w:color="auto"/>
            </w:tcBorders>
            <w:vAlign w:val="center"/>
          </w:tcPr>
          <w:p w14:paraId="52BA722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40</w:t>
            </w:r>
          </w:p>
          <w:p w14:paraId="55B9791D"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(41.2)</w:t>
            </w:r>
          </w:p>
        </w:tc>
        <w:tc>
          <w:tcPr>
            <w:tcW w:w="412" w:type="pct"/>
            <w:tcBorders>
              <w:top w:val="single" w:sz="4" w:space="0" w:color="auto"/>
              <w:bottom w:val="single" w:sz="4" w:space="0" w:color="auto"/>
            </w:tcBorders>
            <w:vAlign w:val="center"/>
          </w:tcPr>
          <w:p w14:paraId="4768238D"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15</w:t>
            </w:r>
          </w:p>
          <w:p w14:paraId="0128C62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(15.5)</w:t>
            </w:r>
          </w:p>
        </w:tc>
        <w:tc>
          <w:tcPr>
            <w:tcW w:w="415" w:type="pct"/>
            <w:tcBorders>
              <w:top w:val="single" w:sz="4" w:space="0" w:color="auto"/>
              <w:bottom w:val="single" w:sz="4" w:space="0" w:color="auto"/>
            </w:tcBorders>
            <w:vAlign w:val="center"/>
          </w:tcPr>
          <w:p w14:paraId="14463ED4"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5.62</w:t>
            </w:r>
          </w:p>
        </w:tc>
        <w:tc>
          <w:tcPr>
            <w:tcW w:w="333" w:type="pct"/>
            <w:tcBorders>
              <w:top w:val="single" w:sz="4" w:space="0" w:color="auto"/>
              <w:bottom w:val="single" w:sz="4" w:space="0" w:color="auto"/>
            </w:tcBorders>
            <w:vAlign w:val="center"/>
          </w:tcPr>
          <w:p w14:paraId="65E50622"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0.92</w:t>
            </w:r>
          </w:p>
        </w:tc>
        <w:tc>
          <w:tcPr>
            <w:tcW w:w="393" w:type="pct"/>
            <w:tcBorders>
              <w:top w:val="single" w:sz="4" w:space="0" w:color="auto"/>
              <w:bottom w:val="single" w:sz="4" w:space="0" w:color="auto"/>
              <w:right w:val="single" w:sz="4" w:space="0" w:color="auto"/>
            </w:tcBorders>
            <w:vAlign w:val="center"/>
          </w:tcPr>
          <w:p w14:paraId="1E2937C2"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80.3</w:t>
            </w:r>
          </w:p>
        </w:tc>
      </w:tr>
      <w:tr w:rsidR="002802AD" w:rsidRPr="005F1135" w14:paraId="3CCF9A3B"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53F1A706"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Lack of financial assistance</w:t>
            </w:r>
          </w:p>
        </w:tc>
        <w:tc>
          <w:tcPr>
            <w:tcW w:w="353" w:type="pct"/>
            <w:tcBorders>
              <w:top w:val="single" w:sz="4" w:space="0" w:color="auto"/>
              <w:left w:val="single" w:sz="4" w:space="0" w:color="auto"/>
              <w:bottom w:val="single" w:sz="4" w:space="0" w:color="auto"/>
            </w:tcBorders>
            <w:vAlign w:val="center"/>
          </w:tcPr>
          <w:p w14:paraId="78A17761"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656DBB2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3DB184D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vAlign w:val="center"/>
          </w:tcPr>
          <w:p w14:paraId="5E41CC0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7</w:t>
            </w:r>
          </w:p>
          <w:p w14:paraId="1D3CEA8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(7.2)</w:t>
            </w:r>
          </w:p>
        </w:tc>
        <w:tc>
          <w:tcPr>
            <w:tcW w:w="353" w:type="pct"/>
            <w:tcBorders>
              <w:top w:val="single" w:sz="4" w:space="0" w:color="auto"/>
              <w:bottom w:val="single" w:sz="4" w:space="0" w:color="auto"/>
            </w:tcBorders>
            <w:vAlign w:val="center"/>
          </w:tcPr>
          <w:p w14:paraId="44FF246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w:t>
            </w:r>
          </w:p>
          <w:p w14:paraId="0B243C9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(2.1)</w:t>
            </w:r>
          </w:p>
        </w:tc>
        <w:tc>
          <w:tcPr>
            <w:tcW w:w="412" w:type="pct"/>
            <w:tcBorders>
              <w:top w:val="single" w:sz="4" w:space="0" w:color="auto"/>
              <w:bottom w:val="single" w:sz="4" w:space="0" w:color="auto"/>
            </w:tcBorders>
            <w:vAlign w:val="center"/>
          </w:tcPr>
          <w:p w14:paraId="0835370A"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39</w:t>
            </w:r>
          </w:p>
          <w:p w14:paraId="7C8D275D"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(40.2)</w:t>
            </w:r>
          </w:p>
        </w:tc>
        <w:tc>
          <w:tcPr>
            <w:tcW w:w="412" w:type="pct"/>
            <w:tcBorders>
              <w:top w:val="single" w:sz="4" w:space="0" w:color="auto"/>
              <w:bottom w:val="single" w:sz="4" w:space="0" w:color="auto"/>
            </w:tcBorders>
            <w:vAlign w:val="center"/>
          </w:tcPr>
          <w:p w14:paraId="4E2C057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36</w:t>
            </w:r>
          </w:p>
          <w:p w14:paraId="09DB32B4"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(37.1)</w:t>
            </w:r>
          </w:p>
        </w:tc>
        <w:tc>
          <w:tcPr>
            <w:tcW w:w="412" w:type="pct"/>
            <w:tcBorders>
              <w:top w:val="single" w:sz="4" w:space="0" w:color="auto"/>
              <w:bottom w:val="single" w:sz="4" w:space="0" w:color="auto"/>
            </w:tcBorders>
            <w:vAlign w:val="center"/>
          </w:tcPr>
          <w:p w14:paraId="3934CFE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12</w:t>
            </w:r>
          </w:p>
          <w:p w14:paraId="3A188059"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(12.4)</w:t>
            </w:r>
          </w:p>
        </w:tc>
        <w:tc>
          <w:tcPr>
            <w:tcW w:w="415" w:type="pct"/>
            <w:tcBorders>
              <w:top w:val="single" w:sz="4" w:space="0" w:color="auto"/>
              <w:bottom w:val="single" w:sz="4" w:space="0" w:color="auto"/>
            </w:tcBorders>
            <w:vAlign w:val="center"/>
          </w:tcPr>
          <w:p w14:paraId="5900AF5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5.42</w:t>
            </w:r>
          </w:p>
        </w:tc>
        <w:tc>
          <w:tcPr>
            <w:tcW w:w="333" w:type="pct"/>
            <w:tcBorders>
              <w:top w:val="single" w:sz="4" w:space="0" w:color="auto"/>
              <w:bottom w:val="single" w:sz="4" w:space="0" w:color="auto"/>
            </w:tcBorders>
            <w:vAlign w:val="center"/>
          </w:tcPr>
          <w:p w14:paraId="0A53BB1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1.05</w:t>
            </w:r>
          </w:p>
        </w:tc>
        <w:tc>
          <w:tcPr>
            <w:tcW w:w="393" w:type="pct"/>
            <w:tcBorders>
              <w:top w:val="single" w:sz="4" w:space="0" w:color="auto"/>
              <w:bottom w:val="single" w:sz="4" w:space="0" w:color="auto"/>
              <w:right w:val="single" w:sz="4" w:space="0" w:color="auto"/>
            </w:tcBorders>
            <w:vAlign w:val="center"/>
          </w:tcPr>
          <w:p w14:paraId="493CCEA0"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77.5</w:t>
            </w:r>
          </w:p>
        </w:tc>
      </w:tr>
      <w:tr w:rsidR="002802AD" w:rsidRPr="005F1135" w14:paraId="330AD583"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035C9591"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Lack of government subsidies / allocations</w:t>
            </w:r>
          </w:p>
        </w:tc>
        <w:tc>
          <w:tcPr>
            <w:tcW w:w="353" w:type="pct"/>
            <w:tcBorders>
              <w:top w:val="single" w:sz="4" w:space="0" w:color="auto"/>
              <w:left w:val="single" w:sz="4" w:space="0" w:color="auto"/>
              <w:bottom w:val="single" w:sz="4" w:space="0" w:color="auto"/>
            </w:tcBorders>
            <w:vAlign w:val="center"/>
          </w:tcPr>
          <w:p w14:paraId="11E27DC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38FFBAD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w:t>
            </w:r>
          </w:p>
          <w:p w14:paraId="45AFC6D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(2.1)</w:t>
            </w:r>
          </w:p>
        </w:tc>
        <w:tc>
          <w:tcPr>
            <w:tcW w:w="412" w:type="pct"/>
            <w:tcBorders>
              <w:top w:val="single" w:sz="4" w:space="0" w:color="auto"/>
              <w:bottom w:val="single" w:sz="4" w:space="0" w:color="auto"/>
            </w:tcBorders>
            <w:vAlign w:val="center"/>
          </w:tcPr>
          <w:p w14:paraId="036CD05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w:t>
            </w:r>
          </w:p>
          <w:p w14:paraId="0080B0E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(3.1)</w:t>
            </w:r>
          </w:p>
        </w:tc>
        <w:tc>
          <w:tcPr>
            <w:tcW w:w="353" w:type="pct"/>
            <w:tcBorders>
              <w:top w:val="single" w:sz="4" w:space="0" w:color="auto"/>
              <w:bottom w:val="single" w:sz="4" w:space="0" w:color="auto"/>
            </w:tcBorders>
            <w:vAlign w:val="center"/>
          </w:tcPr>
          <w:p w14:paraId="64107DD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67B78F3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vAlign w:val="center"/>
          </w:tcPr>
          <w:p w14:paraId="07FE49EA"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41</w:t>
            </w:r>
          </w:p>
          <w:p w14:paraId="41663F12"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(42.3)</w:t>
            </w:r>
          </w:p>
        </w:tc>
        <w:tc>
          <w:tcPr>
            <w:tcW w:w="412" w:type="pct"/>
            <w:tcBorders>
              <w:top w:val="single" w:sz="4" w:space="0" w:color="auto"/>
              <w:bottom w:val="single" w:sz="4" w:space="0" w:color="auto"/>
            </w:tcBorders>
            <w:vAlign w:val="center"/>
          </w:tcPr>
          <w:p w14:paraId="0A8E5DB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40</w:t>
            </w:r>
          </w:p>
          <w:p w14:paraId="12AD4C6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(41.2)</w:t>
            </w:r>
          </w:p>
        </w:tc>
        <w:tc>
          <w:tcPr>
            <w:tcW w:w="412" w:type="pct"/>
            <w:tcBorders>
              <w:top w:val="single" w:sz="4" w:space="0" w:color="auto"/>
              <w:bottom w:val="single" w:sz="4" w:space="0" w:color="auto"/>
            </w:tcBorders>
            <w:vAlign w:val="center"/>
          </w:tcPr>
          <w:p w14:paraId="1D59FED7"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p w14:paraId="209240A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(10.3)</w:t>
            </w:r>
          </w:p>
        </w:tc>
        <w:tc>
          <w:tcPr>
            <w:tcW w:w="415" w:type="pct"/>
            <w:tcBorders>
              <w:top w:val="single" w:sz="4" w:space="0" w:color="auto"/>
              <w:bottom w:val="single" w:sz="4" w:space="0" w:color="auto"/>
            </w:tcBorders>
            <w:vAlign w:val="center"/>
          </w:tcPr>
          <w:p w14:paraId="25C6B8C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5.48</w:t>
            </w:r>
          </w:p>
        </w:tc>
        <w:tc>
          <w:tcPr>
            <w:tcW w:w="333" w:type="pct"/>
            <w:tcBorders>
              <w:top w:val="single" w:sz="4" w:space="0" w:color="auto"/>
              <w:bottom w:val="single" w:sz="4" w:space="0" w:color="auto"/>
            </w:tcBorders>
            <w:vAlign w:val="center"/>
          </w:tcPr>
          <w:p w14:paraId="53AC9FE2"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0.96</w:t>
            </w:r>
          </w:p>
        </w:tc>
        <w:tc>
          <w:tcPr>
            <w:tcW w:w="393" w:type="pct"/>
            <w:tcBorders>
              <w:top w:val="single" w:sz="4" w:space="0" w:color="auto"/>
              <w:bottom w:val="single" w:sz="4" w:space="0" w:color="auto"/>
              <w:right w:val="single" w:sz="4" w:space="0" w:color="auto"/>
            </w:tcBorders>
            <w:vAlign w:val="center"/>
          </w:tcPr>
          <w:p w14:paraId="207E9445"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78.4</w:t>
            </w:r>
          </w:p>
        </w:tc>
      </w:tr>
      <w:tr w:rsidR="002802AD" w:rsidRPr="005F1135" w14:paraId="646F2FB8" w14:textId="77777777" w:rsidTr="005F6CF3">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ADD024"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High housing deposit</w:t>
            </w:r>
          </w:p>
        </w:tc>
        <w:tc>
          <w:tcPr>
            <w:tcW w:w="353" w:type="pct"/>
            <w:tcBorders>
              <w:top w:val="single" w:sz="4" w:space="0" w:color="auto"/>
              <w:left w:val="single" w:sz="4" w:space="0" w:color="auto"/>
              <w:bottom w:val="single" w:sz="4" w:space="0" w:color="auto"/>
            </w:tcBorders>
            <w:shd w:val="clear" w:color="auto" w:fill="D0CECE" w:themeFill="background2" w:themeFillShade="E6"/>
            <w:vAlign w:val="center"/>
          </w:tcPr>
          <w:p w14:paraId="4416CED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3A09FF2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2C8F187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08AB8DFE"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353" w:type="pct"/>
            <w:tcBorders>
              <w:top w:val="single" w:sz="4" w:space="0" w:color="auto"/>
              <w:bottom w:val="single" w:sz="4" w:space="0" w:color="auto"/>
            </w:tcBorders>
            <w:shd w:val="clear" w:color="auto" w:fill="D0CECE" w:themeFill="background2" w:themeFillShade="E6"/>
            <w:vAlign w:val="center"/>
          </w:tcPr>
          <w:p w14:paraId="3872F22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2CC1D5A9"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36</w:t>
            </w:r>
          </w:p>
          <w:p w14:paraId="232E6D0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(37.1)</w:t>
            </w:r>
          </w:p>
        </w:tc>
        <w:tc>
          <w:tcPr>
            <w:tcW w:w="412" w:type="pct"/>
            <w:tcBorders>
              <w:top w:val="single" w:sz="4" w:space="0" w:color="auto"/>
              <w:bottom w:val="single" w:sz="4" w:space="0" w:color="auto"/>
            </w:tcBorders>
            <w:shd w:val="clear" w:color="auto" w:fill="D0CECE" w:themeFill="background2" w:themeFillShade="E6"/>
            <w:vAlign w:val="center"/>
          </w:tcPr>
          <w:p w14:paraId="4719FEC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44</w:t>
            </w:r>
          </w:p>
          <w:p w14:paraId="4B4F486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(45.4)</w:t>
            </w:r>
          </w:p>
        </w:tc>
        <w:tc>
          <w:tcPr>
            <w:tcW w:w="412" w:type="pct"/>
            <w:tcBorders>
              <w:top w:val="single" w:sz="4" w:space="0" w:color="auto"/>
              <w:bottom w:val="single" w:sz="4" w:space="0" w:color="auto"/>
            </w:tcBorders>
            <w:shd w:val="clear" w:color="auto" w:fill="D0CECE" w:themeFill="background2" w:themeFillShade="E6"/>
            <w:vAlign w:val="center"/>
          </w:tcPr>
          <w:p w14:paraId="3B9A18F2"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16</w:t>
            </w:r>
          </w:p>
          <w:p w14:paraId="21BBE13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(16.0)</w:t>
            </w:r>
          </w:p>
        </w:tc>
        <w:tc>
          <w:tcPr>
            <w:tcW w:w="415" w:type="pct"/>
            <w:tcBorders>
              <w:top w:val="single" w:sz="4" w:space="0" w:color="auto"/>
              <w:bottom w:val="single" w:sz="4" w:space="0" w:color="auto"/>
            </w:tcBorders>
            <w:shd w:val="clear" w:color="auto" w:fill="D0CECE" w:themeFill="background2" w:themeFillShade="E6"/>
            <w:vAlign w:val="center"/>
          </w:tcPr>
          <w:p w14:paraId="3FBBEB0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5.77</w:t>
            </w:r>
          </w:p>
        </w:tc>
        <w:tc>
          <w:tcPr>
            <w:tcW w:w="333" w:type="pct"/>
            <w:tcBorders>
              <w:top w:val="single" w:sz="4" w:space="0" w:color="auto"/>
              <w:bottom w:val="single" w:sz="4" w:space="0" w:color="auto"/>
            </w:tcBorders>
            <w:shd w:val="clear" w:color="auto" w:fill="D0CECE" w:themeFill="background2" w:themeFillShade="E6"/>
            <w:vAlign w:val="center"/>
          </w:tcPr>
          <w:p w14:paraId="273327A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0.78</w:t>
            </w:r>
          </w:p>
        </w:tc>
        <w:tc>
          <w:tcPr>
            <w:tcW w:w="393" w:type="pct"/>
            <w:tcBorders>
              <w:top w:val="single" w:sz="4" w:space="0" w:color="auto"/>
              <w:bottom w:val="single" w:sz="4" w:space="0" w:color="auto"/>
              <w:right w:val="single" w:sz="4" w:space="0" w:color="auto"/>
            </w:tcBorders>
            <w:shd w:val="clear" w:color="auto" w:fill="D0CECE" w:themeFill="background2" w:themeFillShade="E6"/>
            <w:vAlign w:val="center"/>
          </w:tcPr>
          <w:p w14:paraId="70861F64"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82.3</w:t>
            </w:r>
          </w:p>
        </w:tc>
      </w:tr>
      <w:tr w:rsidR="002802AD" w:rsidRPr="005F1135" w14:paraId="7C40ACCC"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1886915E"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High booking fees</w:t>
            </w:r>
          </w:p>
        </w:tc>
        <w:tc>
          <w:tcPr>
            <w:tcW w:w="353" w:type="pct"/>
            <w:tcBorders>
              <w:top w:val="single" w:sz="4" w:space="0" w:color="auto"/>
              <w:left w:val="single" w:sz="4" w:space="0" w:color="auto"/>
              <w:bottom w:val="single" w:sz="4" w:space="0" w:color="auto"/>
            </w:tcBorders>
            <w:vAlign w:val="center"/>
          </w:tcPr>
          <w:p w14:paraId="7D838FB9"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3B2D9E79"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602561F2"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vAlign w:val="center"/>
          </w:tcPr>
          <w:p w14:paraId="152B6087"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w:t>
            </w:r>
          </w:p>
          <w:p w14:paraId="3C22C5D4"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(5.2)</w:t>
            </w:r>
          </w:p>
        </w:tc>
        <w:tc>
          <w:tcPr>
            <w:tcW w:w="353" w:type="pct"/>
            <w:tcBorders>
              <w:top w:val="single" w:sz="4" w:space="0" w:color="auto"/>
              <w:bottom w:val="single" w:sz="4" w:space="0" w:color="auto"/>
            </w:tcBorders>
            <w:vAlign w:val="center"/>
          </w:tcPr>
          <w:p w14:paraId="1D0C24FE"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w:t>
            </w:r>
          </w:p>
          <w:p w14:paraId="75F3E8F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(2.1)</w:t>
            </w:r>
          </w:p>
        </w:tc>
        <w:tc>
          <w:tcPr>
            <w:tcW w:w="412" w:type="pct"/>
            <w:tcBorders>
              <w:top w:val="single" w:sz="4" w:space="0" w:color="auto"/>
              <w:bottom w:val="single" w:sz="4" w:space="0" w:color="auto"/>
            </w:tcBorders>
            <w:vAlign w:val="center"/>
          </w:tcPr>
          <w:p w14:paraId="293DD4AE"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43</w:t>
            </w:r>
          </w:p>
          <w:p w14:paraId="4414D57A"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(44.3)</w:t>
            </w:r>
          </w:p>
        </w:tc>
        <w:tc>
          <w:tcPr>
            <w:tcW w:w="412" w:type="pct"/>
            <w:tcBorders>
              <w:top w:val="single" w:sz="4" w:space="0" w:color="auto"/>
              <w:bottom w:val="single" w:sz="4" w:space="0" w:color="auto"/>
            </w:tcBorders>
            <w:vAlign w:val="center"/>
          </w:tcPr>
          <w:p w14:paraId="6E4E80F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36</w:t>
            </w:r>
          </w:p>
          <w:p w14:paraId="54B73151"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(37.1)</w:t>
            </w:r>
          </w:p>
        </w:tc>
        <w:tc>
          <w:tcPr>
            <w:tcW w:w="412" w:type="pct"/>
            <w:tcBorders>
              <w:top w:val="single" w:sz="4" w:space="0" w:color="auto"/>
              <w:bottom w:val="single" w:sz="4" w:space="0" w:color="auto"/>
            </w:tcBorders>
            <w:vAlign w:val="center"/>
          </w:tcPr>
          <w:p w14:paraId="12EBCE5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p w14:paraId="7B569D6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(10.3)</w:t>
            </w:r>
          </w:p>
        </w:tc>
        <w:tc>
          <w:tcPr>
            <w:tcW w:w="415" w:type="pct"/>
            <w:tcBorders>
              <w:top w:val="single" w:sz="4" w:space="0" w:color="auto"/>
              <w:bottom w:val="single" w:sz="4" w:space="0" w:color="auto"/>
            </w:tcBorders>
            <w:vAlign w:val="center"/>
          </w:tcPr>
          <w:p w14:paraId="44E0E65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5.42</w:t>
            </w:r>
          </w:p>
        </w:tc>
        <w:tc>
          <w:tcPr>
            <w:tcW w:w="333" w:type="pct"/>
            <w:tcBorders>
              <w:top w:val="single" w:sz="4" w:space="0" w:color="auto"/>
              <w:bottom w:val="single" w:sz="4" w:space="0" w:color="auto"/>
            </w:tcBorders>
            <w:vAlign w:val="center"/>
          </w:tcPr>
          <w:p w14:paraId="02F239F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0.97</w:t>
            </w:r>
          </w:p>
        </w:tc>
        <w:tc>
          <w:tcPr>
            <w:tcW w:w="393" w:type="pct"/>
            <w:tcBorders>
              <w:top w:val="single" w:sz="4" w:space="0" w:color="auto"/>
              <w:bottom w:val="single" w:sz="4" w:space="0" w:color="auto"/>
              <w:right w:val="single" w:sz="4" w:space="0" w:color="auto"/>
            </w:tcBorders>
            <w:vAlign w:val="center"/>
          </w:tcPr>
          <w:p w14:paraId="21A61A03"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77.5</w:t>
            </w:r>
          </w:p>
        </w:tc>
      </w:tr>
      <w:tr w:rsidR="002802AD" w:rsidRPr="005F1135" w14:paraId="587834C6"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5831F86E"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High processing fees</w:t>
            </w:r>
          </w:p>
        </w:tc>
        <w:tc>
          <w:tcPr>
            <w:tcW w:w="353" w:type="pct"/>
            <w:tcBorders>
              <w:top w:val="single" w:sz="4" w:space="0" w:color="auto"/>
              <w:left w:val="single" w:sz="4" w:space="0" w:color="auto"/>
              <w:bottom w:val="single" w:sz="4" w:space="0" w:color="auto"/>
            </w:tcBorders>
            <w:vAlign w:val="center"/>
          </w:tcPr>
          <w:p w14:paraId="10148A9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7F14F17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w:t>
            </w:r>
          </w:p>
          <w:p w14:paraId="6180F1D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(3.1)</w:t>
            </w:r>
          </w:p>
        </w:tc>
        <w:tc>
          <w:tcPr>
            <w:tcW w:w="412" w:type="pct"/>
            <w:tcBorders>
              <w:top w:val="single" w:sz="4" w:space="0" w:color="auto"/>
              <w:bottom w:val="single" w:sz="4" w:space="0" w:color="auto"/>
            </w:tcBorders>
            <w:vAlign w:val="center"/>
          </w:tcPr>
          <w:p w14:paraId="2ACAD68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w:t>
            </w:r>
          </w:p>
          <w:p w14:paraId="42955BA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(3.1)</w:t>
            </w:r>
          </w:p>
        </w:tc>
        <w:tc>
          <w:tcPr>
            <w:tcW w:w="353" w:type="pct"/>
            <w:tcBorders>
              <w:top w:val="single" w:sz="4" w:space="0" w:color="auto"/>
              <w:bottom w:val="single" w:sz="4" w:space="0" w:color="auto"/>
            </w:tcBorders>
            <w:vAlign w:val="center"/>
          </w:tcPr>
          <w:p w14:paraId="76E8EDC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60F5DCC7"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vAlign w:val="center"/>
          </w:tcPr>
          <w:p w14:paraId="5323AC3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45</w:t>
            </w:r>
          </w:p>
          <w:p w14:paraId="1A927F5E"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(46.4)</w:t>
            </w:r>
          </w:p>
        </w:tc>
        <w:tc>
          <w:tcPr>
            <w:tcW w:w="412" w:type="pct"/>
            <w:tcBorders>
              <w:top w:val="single" w:sz="4" w:space="0" w:color="auto"/>
              <w:bottom w:val="single" w:sz="4" w:space="0" w:color="auto"/>
            </w:tcBorders>
            <w:vAlign w:val="center"/>
          </w:tcPr>
          <w:p w14:paraId="012CF44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32</w:t>
            </w:r>
          </w:p>
          <w:p w14:paraId="34A3BA9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(33.0)</w:t>
            </w:r>
          </w:p>
        </w:tc>
        <w:tc>
          <w:tcPr>
            <w:tcW w:w="412" w:type="pct"/>
            <w:tcBorders>
              <w:top w:val="single" w:sz="4" w:space="0" w:color="auto"/>
              <w:bottom w:val="single" w:sz="4" w:space="0" w:color="auto"/>
            </w:tcBorders>
            <w:vAlign w:val="center"/>
          </w:tcPr>
          <w:p w14:paraId="083AA75A"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13</w:t>
            </w:r>
          </w:p>
          <w:p w14:paraId="4D32DAE9"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(13.4)</w:t>
            </w:r>
          </w:p>
        </w:tc>
        <w:tc>
          <w:tcPr>
            <w:tcW w:w="415" w:type="pct"/>
            <w:tcBorders>
              <w:top w:val="single" w:sz="4" w:space="0" w:color="auto"/>
              <w:bottom w:val="single" w:sz="4" w:space="0" w:color="auto"/>
            </w:tcBorders>
            <w:vAlign w:val="center"/>
          </w:tcPr>
          <w:p w14:paraId="3304E91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5.43</w:t>
            </w:r>
          </w:p>
        </w:tc>
        <w:tc>
          <w:tcPr>
            <w:tcW w:w="333" w:type="pct"/>
            <w:tcBorders>
              <w:top w:val="single" w:sz="4" w:space="0" w:color="auto"/>
              <w:bottom w:val="single" w:sz="4" w:space="0" w:color="auto"/>
            </w:tcBorders>
            <w:vAlign w:val="center"/>
          </w:tcPr>
          <w:p w14:paraId="5E6FABD7"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1.05</w:t>
            </w:r>
          </w:p>
        </w:tc>
        <w:tc>
          <w:tcPr>
            <w:tcW w:w="393" w:type="pct"/>
            <w:tcBorders>
              <w:top w:val="single" w:sz="4" w:space="0" w:color="auto"/>
              <w:bottom w:val="single" w:sz="4" w:space="0" w:color="auto"/>
              <w:right w:val="single" w:sz="4" w:space="0" w:color="auto"/>
            </w:tcBorders>
            <w:vAlign w:val="center"/>
          </w:tcPr>
          <w:p w14:paraId="7D203AAF"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77.6</w:t>
            </w:r>
          </w:p>
        </w:tc>
      </w:tr>
      <w:tr w:rsidR="002802AD" w:rsidRPr="005F1135" w14:paraId="4C1DCFFB" w14:textId="77777777" w:rsidTr="005F6CF3">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8D6AAC" w14:textId="77777777" w:rsidR="002802AD" w:rsidRPr="005F1135" w:rsidRDefault="002802AD" w:rsidP="004E63A5">
            <w:pPr>
              <w:spacing w:line="240" w:lineRule="auto"/>
              <w:jc w:val="left"/>
              <w:rPr>
                <w:rFonts w:eastAsia="Calibri" w:cs="Times New Roman"/>
                <w:sz w:val="20"/>
                <w:szCs w:val="20"/>
              </w:rPr>
            </w:pPr>
            <w:r>
              <w:rPr>
                <w:rFonts w:eastAsia="Calibri" w:cs="Times New Roman"/>
                <w:sz w:val="20"/>
                <w:szCs w:val="20"/>
              </w:rPr>
              <w:t>Stricter eligibility rules from financial institutions for loan financing</w:t>
            </w:r>
          </w:p>
        </w:tc>
        <w:tc>
          <w:tcPr>
            <w:tcW w:w="353" w:type="pct"/>
            <w:tcBorders>
              <w:top w:val="single" w:sz="4" w:space="0" w:color="auto"/>
              <w:left w:val="single" w:sz="4" w:space="0" w:color="auto"/>
              <w:bottom w:val="single" w:sz="4" w:space="0" w:color="auto"/>
            </w:tcBorders>
            <w:shd w:val="clear" w:color="auto" w:fill="D0CECE" w:themeFill="background2" w:themeFillShade="E6"/>
            <w:vAlign w:val="center"/>
          </w:tcPr>
          <w:p w14:paraId="4A41FAB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603B003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shd w:val="clear" w:color="auto" w:fill="D0CECE" w:themeFill="background2" w:themeFillShade="E6"/>
            <w:vAlign w:val="center"/>
          </w:tcPr>
          <w:p w14:paraId="5284F6E1"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520003F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353" w:type="pct"/>
            <w:tcBorders>
              <w:top w:val="single" w:sz="4" w:space="0" w:color="auto"/>
              <w:bottom w:val="single" w:sz="4" w:space="0" w:color="auto"/>
            </w:tcBorders>
            <w:shd w:val="clear" w:color="auto" w:fill="D0CECE" w:themeFill="background2" w:themeFillShade="E6"/>
            <w:vAlign w:val="center"/>
          </w:tcPr>
          <w:p w14:paraId="65A4AF42"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79E46E5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shd w:val="clear" w:color="auto" w:fill="D0CECE" w:themeFill="background2" w:themeFillShade="E6"/>
            <w:vAlign w:val="center"/>
          </w:tcPr>
          <w:p w14:paraId="4B69C0A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33</w:t>
            </w:r>
          </w:p>
          <w:p w14:paraId="331046E5"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(34.0)</w:t>
            </w:r>
          </w:p>
        </w:tc>
        <w:tc>
          <w:tcPr>
            <w:tcW w:w="412" w:type="pct"/>
            <w:tcBorders>
              <w:top w:val="single" w:sz="4" w:space="0" w:color="auto"/>
              <w:bottom w:val="single" w:sz="4" w:space="0" w:color="auto"/>
            </w:tcBorders>
            <w:shd w:val="clear" w:color="auto" w:fill="D0CECE" w:themeFill="background2" w:themeFillShade="E6"/>
            <w:vAlign w:val="center"/>
          </w:tcPr>
          <w:p w14:paraId="127C879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30</w:t>
            </w:r>
          </w:p>
          <w:p w14:paraId="4E69D7B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(30.9)</w:t>
            </w:r>
          </w:p>
        </w:tc>
        <w:tc>
          <w:tcPr>
            <w:tcW w:w="412" w:type="pct"/>
            <w:tcBorders>
              <w:top w:val="single" w:sz="4" w:space="0" w:color="auto"/>
              <w:bottom w:val="single" w:sz="4" w:space="0" w:color="auto"/>
            </w:tcBorders>
            <w:shd w:val="clear" w:color="auto" w:fill="D0CECE" w:themeFill="background2" w:themeFillShade="E6"/>
            <w:vAlign w:val="center"/>
          </w:tcPr>
          <w:p w14:paraId="4D853BA1"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32</w:t>
            </w:r>
          </w:p>
          <w:p w14:paraId="0B4D7984"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(33.0)</w:t>
            </w:r>
          </w:p>
        </w:tc>
        <w:tc>
          <w:tcPr>
            <w:tcW w:w="415" w:type="pct"/>
            <w:tcBorders>
              <w:top w:val="single" w:sz="4" w:space="0" w:color="auto"/>
              <w:bottom w:val="single" w:sz="4" w:space="0" w:color="auto"/>
            </w:tcBorders>
            <w:shd w:val="clear" w:color="auto" w:fill="D0CECE" w:themeFill="background2" w:themeFillShade="E6"/>
            <w:vAlign w:val="center"/>
          </w:tcPr>
          <w:p w14:paraId="363B7141"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5.92</w:t>
            </w:r>
          </w:p>
        </w:tc>
        <w:tc>
          <w:tcPr>
            <w:tcW w:w="333" w:type="pct"/>
            <w:tcBorders>
              <w:top w:val="single" w:sz="4" w:space="0" w:color="auto"/>
              <w:bottom w:val="single" w:sz="4" w:space="0" w:color="auto"/>
            </w:tcBorders>
            <w:shd w:val="clear" w:color="auto" w:fill="D0CECE" w:themeFill="background2" w:themeFillShade="E6"/>
            <w:vAlign w:val="center"/>
          </w:tcPr>
          <w:p w14:paraId="21749C3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0.99</w:t>
            </w:r>
          </w:p>
        </w:tc>
        <w:tc>
          <w:tcPr>
            <w:tcW w:w="393" w:type="pct"/>
            <w:tcBorders>
              <w:top w:val="single" w:sz="4" w:space="0" w:color="auto"/>
              <w:bottom w:val="single" w:sz="4" w:space="0" w:color="auto"/>
              <w:right w:val="single" w:sz="4" w:space="0" w:color="auto"/>
            </w:tcBorders>
            <w:shd w:val="clear" w:color="auto" w:fill="D0CECE" w:themeFill="background2" w:themeFillShade="E6"/>
            <w:vAlign w:val="center"/>
          </w:tcPr>
          <w:p w14:paraId="1199960B"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84.5</w:t>
            </w:r>
          </w:p>
        </w:tc>
      </w:tr>
      <w:tr w:rsidR="002802AD" w:rsidRPr="005F1135" w14:paraId="076B41DC" w14:textId="77777777" w:rsidTr="005F6CF3">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C09B90"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Shortage of availability of affordable housing</w:t>
            </w:r>
          </w:p>
        </w:tc>
        <w:tc>
          <w:tcPr>
            <w:tcW w:w="353" w:type="pct"/>
            <w:tcBorders>
              <w:top w:val="single" w:sz="4" w:space="0" w:color="auto"/>
              <w:left w:val="single" w:sz="4" w:space="0" w:color="auto"/>
              <w:bottom w:val="single" w:sz="4" w:space="0" w:color="auto"/>
            </w:tcBorders>
            <w:shd w:val="clear" w:color="auto" w:fill="D0CECE" w:themeFill="background2" w:themeFillShade="E6"/>
            <w:vAlign w:val="center"/>
          </w:tcPr>
          <w:p w14:paraId="2E1CB2D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1E04A4B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w:t>
            </w:r>
          </w:p>
          <w:p w14:paraId="332EC69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shd w:val="clear" w:color="auto" w:fill="D0CECE" w:themeFill="background2" w:themeFillShade="E6"/>
            <w:vAlign w:val="center"/>
          </w:tcPr>
          <w:p w14:paraId="24852962"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353" w:type="pct"/>
            <w:tcBorders>
              <w:top w:val="single" w:sz="4" w:space="0" w:color="auto"/>
              <w:bottom w:val="single" w:sz="4" w:space="0" w:color="auto"/>
            </w:tcBorders>
            <w:shd w:val="clear" w:color="auto" w:fill="D0CECE" w:themeFill="background2" w:themeFillShade="E6"/>
            <w:vAlign w:val="center"/>
          </w:tcPr>
          <w:p w14:paraId="2391539E"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1941A506"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41</w:t>
            </w:r>
          </w:p>
          <w:p w14:paraId="06649BBE"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(42.3)</w:t>
            </w:r>
          </w:p>
        </w:tc>
        <w:tc>
          <w:tcPr>
            <w:tcW w:w="412" w:type="pct"/>
            <w:tcBorders>
              <w:top w:val="single" w:sz="4" w:space="0" w:color="auto"/>
              <w:bottom w:val="single" w:sz="4" w:space="0" w:color="auto"/>
            </w:tcBorders>
            <w:shd w:val="clear" w:color="auto" w:fill="D0CECE" w:themeFill="background2" w:themeFillShade="E6"/>
            <w:vAlign w:val="center"/>
          </w:tcPr>
          <w:p w14:paraId="5CB78337"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35</w:t>
            </w:r>
          </w:p>
          <w:p w14:paraId="0731C1DB"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(36.1)</w:t>
            </w:r>
          </w:p>
        </w:tc>
        <w:tc>
          <w:tcPr>
            <w:tcW w:w="412" w:type="pct"/>
            <w:tcBorders>
              <w:top w:val="single" w:sz="4" w:space="0" w:color="auto"/>
              <w:bottom w:val="single" w:sz="4" w:space="0" w:color="auto"/>
            </w:tcBorders>
            <w:shd w:val="clear" w:color="auto" w:fill="D0CECE" w:themeFill="background2" w:themeFillShade="E6"/>
            <w:vAlign w:val="center"/>
          </w:tcPr>
          <w:p w14:paraId="1AE69F1D"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20</w:t>
            </w:r>
          </w:p>
          <w:p w14:paraId="1C72E9FD"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(20.6)</w:t>
            </w:r>
          </w:p>
        </w:tc>
        <w:tc>
          <w:tcPr>
            <w:tcW w:w="415" w:type="pct"/>
            <w:tcBorders>
              <w:top w:val="single" w:sz="4" w:space="0" w:color="auto"/>
              <w:bottom w:val="single" w:sz="4" w:space="0" w:color="auto"/>
            </w:tcBorders>
            <w:shd w:val="clear" w:color="auto" w:fill="D0CECE" w:themeFill="background2" w:themeFillShade="E6"/>
            <w:vAlign w:val="center"/>
          </w:tcPr>
          <w:p w14:paraId="7F87493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5.74</w:t>
            </w:r>
          </w:p>
        </w:tc>
        <w:tc>
          <w:tcPr>
            <w:tcW w:w="333" w:type="pct"/>
            <w:tcBorders>
              <w:top w:val="single" w:sz="4" w:space="0" w:color="auto"/>
              <w:bottom w:val="single" w:sz="4" w:space="0" w:color="auto"/>
            </w:tcBorders>
            <w:shd w:val="clear" w:color="auto" w:fill="D0CECE" w:themeFill="background2" w:themeFillShade="E6"/>
            <w:vAlign w:val="center"/>
          </w:tcPr>
          <w:p w14:paraId="041035DF"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0.86</w:t>
            </w:r>
          </w:p>
        </w:tc>
        <w:tc>
          <w:tcPr>
            <w:tcW w:w="393" w:type="pct"/>
            <w:tcBorders>
              <w:top w:val="single" w:sz="4" w:space="0" w:color="auto"/>
              <w:bottom w:val="single" w:sz="4" w:space="0" w:color="auto"/>
              <w:right w:val="single" w:sz="4" w:space="0" w:color="auto"/>
            </w:tcBorders>
            <w:shd w:val="clear" w:color="auto" w:fill="D0CECE" w:themeFill="background2" w:themeFillShade="E6"/>
            <w:vAlign w:val="center"/>
          </w:tcPr>
          <w:p w14:paraId="7CEF67BA"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82.0</w:t>
            </w:r>
          </w:p>
        </w:tc>
      </w:tr>
      <w:tr w:rsidR="002802AD" w:rsidRPr="005F1135" w14:paraId="7310839F"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38CA4EFE" w14:textId="77777777" w:rsidR="002802AD" w:rsidRPr="005F1135" w:rsidRDefault="002802AD" w:rsidP="004E63A5">
            <w:pPr>
              <w:spacing w:line="240" w:lineRule="auto"/>
              <w:jc w:val="left"/>
              <w:rPr>
                <w:rFonts w:eastAsia="Calibri" w:cs="Times New Roman"/>
                <w:sz w:val="20"/>
                <w:szCs w:val="20"/>
              </w:rPr>
            </w:pPr>
            <w:r w:rsidRPr="005F1135">
              <w:rPr>
                <w:rFonts w:eastAsia="Calibri" w:cs="Times New Roman"/>
                <w:sz w:val="20"/>
                <w:szCs w:val="20"/>
              </w:rPr>
              <w:t>Lack of access to home financing</w:t>
            </w:r>
          </w:p>
        </w:tc>
        <w:tc>
          <w:tcPr>
            <w:tcW w:w="353" w:type="pct"/>
            <w:tcBorders>
              <w:top w:val="single" w:sz="4" w:space="0" w:color="auto"/>
              <w:left w:val="single" w:sz="4" w:space="0" w:color="auto"/>
              <w:bottom w:val="single" w:sz="4" w:space="0" w:color="auto"/>
            </w:tcBorders>
            <w:vAlign w:val="center"/>
          </w:tcPr>
          <w:p w14:paraId="44453759"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2E691957"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w:t>
            </w:r>
          </w:p>
          <w:p w14:paraId="10FDE77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(2.1)</w:t>
            </w:r>
          </w:p>
        </w:tc>
        <w:tc>
          <w:tcPr>
            <w:tcW w:w="412" w:type="pct"/>
            <w:tcBorders>
              <w:top w:val="single" w:sz="4" w:space="0" w:color="auto"/>
              <w:bottom w:val="single" w:sz="4" w:space="0" w:color="auto"/>
            </w:tcBorders>
            <w:vAlign w:val="center"/>
          </w:tcPr>
          <w:p w14:paraId="77A47C71"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w:t>
            </w:r>
          </w:p>
          <w:p w14:paraId="7C46E33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(3.1)</w:t>
            </w:r>
          </w:p>
        </w:tc>
        <w:tc>
          <w:tcPr>
            <w:tcW w:w="353" w:type="pct"/>
            <w:tcBorders>
              <w:top w:val="single" w:sz="4" w:space="0" w:color="auto"/>
              <w:bottom w:val="single" w:sz="4" w:space="0" w:color="auto"/>
            </w:tcBorders>
            <w:vAlign w:val="center"/>
          </w:tcPr>
          <w:p w14:paraId="468707F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w:t>
            </w:r>
          </w:p>
          <w:p w14:paraId="4548C8D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(5.2)</w:t>
            </w:r>
          </w:p>
        </w:tc>
        <w:tc>
          <w:tcPr>
            <w:tcW w:w="412" w:type="pct"/>
            <w:tcBorders>
              <w:top w:val="single" w:sz="4" w:space="0" w:color="auto"/>
              <w:bottom w:val="single" w:sz="4" w:space="0" w:color="auto"/>
            </w:tcBorders>
            <w:vAlign w:val="center"/>
          </w:tcPr>
          <w:p w14:paraId="144D0E70"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53</w:t>
            </w:r>
          </w:p>
          <w:p w14:paraId="6B2F929C"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(54.6)</w:t>
            </w:r>
          </w:p>
        </w:tc>
        <w:tc>
          <w:tcPr>
            <w:tcW w:w="412" w:type="pct"/>
            <w:tcBorders>
              <w:top w:val="single" w:sz="4" w:space="0" w:color="auto"/>
              <w:bottom w:val="single" w:sz="4" w:space="0" w:color="auto"/>
            </w:tcBorders>
            <w:vAlign w:val="center"/>
          </w:tcPr>
          <w:p w14:paraId="1B186628"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26</w:t>
            </w:r>
          </w:p>
          <w:p w14:paraId="1213CD33"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(26.8)</w:t>
            </w:r>
          </w:p>
        </w:tc>
        <w:tc>
          <w:tcPr>
            <w:tcW w:w="412" w:type="pct"/>
            <w:tcBorders>
              <w:top w:val="single" w:sz="4" w:space="0" w:color="auto"/>
              <w:bottom w:val="single" w:sz="4" w:space="0" w:color="auto"/>
            </w:tcBorders>
            <w:vAlign w:val="center"/>
          </w:tcPr>
          <w:p w14:paraId="1CB3C7A4"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8</w:t>
            </w:r>
          </w:p>
          <w:p w14:paraId="37FE9534"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(8.2)</w:t>
            </w:r>
          </w:p>
        </w:tc>
        <w:tc>
          <w:tcPr>
            <w:tcW w:w="415" w:type="pct"/>
            <w:tcBorders>
              <w:top w:val="single" w:sz="4" w:space="0" w:color="auto"/>
              <w:bottom w:val="single" w:sz="4" w:space="0" w:color="auto"/>
            </w:tcBorders>
            <w:vAlign w:val="center"/>
          </w:tcPr>
          <w:p w14:paraId="3CAEAF54"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5.26</w:t>
            </w:r>
          </w:p>
        </w:tc>
        <w:tc>
          <w:tcPr>
            <w:tcW w:w="333" w:type="pct"/>
            <w:tcBorders>
              <w:top w:val="single" w:sz="4" w:space="0" w:color="auto"/>
              <w:bottom w:val="single" w:sz="4" w:space="0" w:color="auto"/>
            </w:tcBorders>
            <w:vAlign w:val="center"/>
          </w:tcPr>
          <w:p w14:paraId="1488EF47" w14:textId="77777777" w:rsidR="002802AD" w:rsidRPr="005F1135" w:rsidRDefault="002802AD" w:rsidP="004E63A5">
            <w:pPr>
              <w:spacing w:line="240" w:lineRule="auto"/>
              <w:jc w:val="center"/>
              <w:rPr>
                <w:rFonts w:eastAsia="Calibri" w:cs="Times New Roman"/>
                <w:sz w:val="20"/>
                <w:szCs w:val="20"/>
              </w:rPr>
            </w:pPr>
            <w:r w:rsidRPr="005F1135">
              <w:rPr>
                <w:rFonts w:eastAsia="Calibri" w:cs="Times New Roman"/>
                <w:sz w:val="20"/>
                <w:szCs w:val="20"/>
              </w:rPr>
              <w:t>0.95</w:t>
            </w:r>
          </w:p>
        </w:tc>
        <w:tc>
          <w:tcPr>
            <w:tcW w:w="393" w:type="pct"/>
            <w:tcBorders>
              <w:top w:val="single" w:sz="4" w:space="0" w:color="auto"/>
              <w:bottom w:val="single" w:sz="4" w:space="0" w:color="auto"/>
              <w:right w:val="single" w:sz="4" w:space="0" w:color="auto"/>
            </w:tcBorders>
            <w:vAlign w:val="center"/>
          </w:tcPr>
          <w:p w14:paraId="64502E63" w14:textId="77777777" w:rsidR="002802AD" w:rsidRPr="005F1135" w:rsidRDefault="002802AD" w:rsidP="004E63A5">
            <w:pPr>
              <w:spacing w:line="240" w:lineRule="auto"/>
              <w:jc w:val="center"/>
              <w:rPr>
                <w:rFonts w:eastAsia="Calibri" w:cs="Times New Roman"/>
                <w:color w:val="000000"/>
                <w:sz w:val="20"/>
                <w:szCs w:val="20"/>
              </w:rPr>
            </w:pPr>
            <w:r>
              <w:rPr>
                <w:rFonts w:eastAsia="Calibri" w:cs="Times New Roman"/>
                <w:color w:val="000000"/>
                <w:sz w:val="20"/>
                <w:szCs w:val="20"/>
              </w:rPr>
              <w:t>75.1</w:t>
            </w:r>
          </w:p>
        </w:tc>
      </w:tr>
    </w:tbl>
    <w:p w14:paraId="3B2E8492" w14:textId="0E801849" w:rsidR="002802AD" w:rsidRDefault="00E62982" w:rsidP="004E63A5">
      <w:pPr>
        <w:spacing w:after="0"/>
        <w:rPr>
          <w:rFonts w:eastAsia="Calibri" w:cs="Times New Roman"/>
          <w:sz w:val="20"/>
          <w:szCs w:val="20"/>
          <w:lang w:val="en-US"/>
        </w:rPr>
      </w:pPr>
      <w:r w:rsidRPr="00375854">
        <w:rPr>
          <w:rFonts w:eastAsia="Calibri" w:cs="Times New Roman"/>
          <w:sz w:val="20"/>
          <w:szCs w:val="20"/>
          <w:lang w:val="en-US"/>
        </w:rPr>
        <w:t>Note: SD = Standard deviation; 1 = Strongly Disagree, 2 = Disagree, 3 = Somewhat Disagree; 4 = Neither Agree or Disagree; 5 = Somewhat Agree; 6 = Agree; 7 = Strongly Agree; RII = Relative Importance Index (%).</w:t>
      </w:r>
    </w:p>
    <w:p w14:paraId="6330509B" w14:textId="77777777" w:rsidR="004E63A5" w:rsidRPr="004E63A5" w:rsidRDefault="004E63A5" w:rsidP="004E63A5">
      <w:pPr>
        <w:spacing w:after="0"/>
        <w:rPr>
          <w:rFonts w:eastAsia="Calibri" w:cs="Times New Roman"/>
          <w:sz w:val="20"/>
          <w:szCs w:val="20"/>
          <w:lang w:val="en-US"/>
        </w:rPr>
      </w:pPr>
    </w:p>
    <w:p w14:paraId="66FB89B4" w14:textId="00CEEBE5" w:rsidR="00AD2C53" w:rsidRPr="00752156" w:rsidRDefault="00AD2C53" w:rsidP="004E63A5">
      <w:pPr>
        <w:spacing w:after="0"/>
        <w:ind w:firstLine="720"/>
        <w:rPr>
          <w:rFonts w:eastAsia="Calibri" w:cs="Times New Roman"/>
          <w:szCs w:val="24"/>
        </w:rPr>
      </w:pPr>
      <w:r w:rsidRPr="0052206A">
        <w:rPr>
          <w:rFonts w:eastAsia="Calibri" w:cs="Times New Roman"/>
          <w:szCs w:val="24"/>
        </w:rPr>
        <w:t>The respondents argue</w:t>
      </w:r>
      <w:r>
        <w:rPr>
          <w:rFonts w:eastAsia="Calibri" w:cs="Times New Roman"/>
          <w:szCs w:val="24"/>
        </w:rPr>
        <w:t>d</w:t>
      </w:r>
      <w:r w:rsidRPr="0052206A">
        <w:rPr>
          <w:rFonts w:eastAsia="Calibri" w:cs="Times New Roman"/>
          <w:szCs w:val="24"/>
        </w:rPr>
        <w:t xml:space="preserve"> that they struggled to secure the loan financing</w:t>
      </w:r>
      <w:r>
        <w:rPr>
          <w:rFonts w:eastAsia="Calibri" w:cs="Times New Roman"/>
          <w:szCs w:val="24"/>
        </w:rPr>
        <w:t>,</w:t>
      </w:r>
      <w:r w:rsidRPr="0052206A">
        <w:rPr>
          <w:rFonts w:eastAsia="Calibri" w:cs="Times New Roman"/>
          <w:szCs w:val="24"/>
        </w:rPr>
        <w:t xml:space="preserve"> especially when there </w:t>
      </w:r>
      <w:r>
        <w:rPr>
          <w:rFonts w:eastAsia="Calibri" w:cs="Times New Roman"/>
          <w:szCs w:val="24"/>
        </w:rPr>
        <w:t>were</w:t>
      </w:r>
      <w:r w:rsidRPr="0052206A">
        <w:rPr>
          <w:rFonts w:eastAsia="Calibri" w:cs="Times New Roman"/>
          <w:szCs w:val="24"/>
        </w:rPr>
        <w:t xml:space="preserve"> stricter eligibility rules from </w:t>
      </w:r>
      <w:r>
        <w:rPr>
          <w:rFonts w:eastAsia="Calibri" w:cs="Times New Roman"/>
          <w:szCs w:val="24"/>
        </w:rPr>
        <w:t xml:space="preserve">the </w:t>
      </w:r>
      <w:r w:rsidRPr="0052206A">
        <w:rPr>
          <w:rFonts w:eastAsia="Calibri" w:cs="Times New Roman"/>
          <w:szCs w:val="24"/>
        </w:rPr>
        <w:t>banking sectors. In their pursuit to live independently, accessing adequate housing</w:t>
      </w:r>
      <w:r>
        <w:rPr>
          <w:rFonts w:eastAsia="Calibri" w:cs="Times New Roman"/>
          <w:szCs w:val="24"/>
        </w:rPr>
        <w:t>,</w:t>
      </w:r>
      <w:r w:rsidRPr="0052206A">
        <w:rPr>
          <w:rFonts w:eastAsia="Calibri" w:cs="Times New Roman"/>
          <w:szCs w:val="24"/>
        </w:rPr>
        <w:t xml:space="preserve"> especially on homeownership</w:t>
      </w:r>
      <w:r>
        <w:rPr>
          <w:rFonts w:eastAsia="Calibri" w:cs="Times New Roman"/>
          <w:szCs w:val="24"/>
        </w:rPr>
        <w:t>,</w:t>
      </w:r>
      <w:r w:rsidRPr="0052206A">
        <w:rPr>
          <w:rFonts w:eastAsia="Calibri" w:cs="Times New Roman"/>
          <w:szCs w:val="24"/>
        </w:rPr>
        <w:t xml:space="preserve"> seem</w:t>
      </w:r>
      <w:r>
        <w:rPr>
          <w:rFonts w:eastAsia="Calibri" w:cs="Times New Roman"/>
          <w:szCs w:val="24"/>
        </w:rPr>
        <w:t>ed</w:t>
      </w:r>
      <w:r w:rsidRPr="0052206A">
        <w:rPr>
          <w:rFonts w:eastAsia="Calibri" w:cs="Times New Roman"/>
          <w:szCs w:val="24"/>
        </w:rPr>
        <w:t xml:space="preserve"> difficult for the first-time home buyers due to the strict lending rules from </w:t>
      </w:r>
      <w:r>
        <w:rPr>
          <w:rFonts w:eastAsia="Calibri" w:cs="Times New Roman"/>
          <w:szCs w:val="24"/>
        </w:rPr>
        <w:t xml:space="preserve">the </w:t>
      </w:r>
      <w:r w:rsidRPr="0052206A">
        <w:rPr>
          <w:rFonts w:eastAsia="Calibri" w:cs="Times New Roman"/>
          <w:szCs w:val="24"/>
        </w:rPr>
        <w:t xml:space="preserve">financial institutions </w:t>
      </w:r>
      <w:r>
        <w:rPr>
          <w:rFonts w:eastAsia="Calibri" w:cs="Times New Roman"/>
          <w:szCs w:val="24"/>
        </w:rPr>
        <w:fldChar w:fldCharType="begin" w:fldLock="1"/>
      </w:r>
      <w:r>
        <w:rPr>
          <w:rFonts w:eastAsia="Calibri" w:cs="Times New Roman"/>
          <w:szCs w:val="24"/>
        </w:rPr>
        <w:instrText>ADDIN CSL_CITATION { "citationItems" : [ { "id" : "ITEM-1", "itemData" : { "DOI" : "10.1007/s10901-017-9551-8", "ISSN" : "15737772", "abstract" : "With continued economic growth and expanding mortgage markets, until recently the pattern across advanced economies was of growing homeownership sectors. The Great Financial Crisis (GFC) has however, undercut this growth resulting in the contraction of homeownership access in many countries and the revival of private renting. This paper argues that these tenure changes are not solely a consequence of the GFC, and therefore, reversible once long-term growth returns. Rather, they are the consequences of more fundamental changes especially in labour markets. The very financialisation that fuelled the growth of homeownership has also led to a hollowing out of well-paid, secure jobs\u2014exactly those that fit best with the taking of housing loans. We examine longer-term declines in labour market security across Europe from before the GFC, identifying an underlying correlation between deteriorated labour market conditions and homeownership access for young adults. While variations exist across European countries, there is evidence of common trends. We argue that the GFC both accelerated pre-existing labour insecurity dynamics and brought an end to offsetting such dynamics through the expansion of credit access with the likelihood of a return to an era of widespread homeownership growth starkly decreased.", "author" : [ { "dropping-particle" : "", "family" : "Arundel", "given" : "Rowan", "non-dropping-particle" : "", "parse-names" : false, "suffix" : "" }, { "dropping-particle" : "", "family" : "Doling", "given" : "John", "non-dropping-particle" : "", "parse-names" : false, "suffix" : "" } ], "container-title" : "Journal of Housing and the Built Environment", "id" : "ITEM-1", "issued" : { "date-parts" : [ [ "2017" ] ] }, "page" : "1-24", "publisher" : "Springer Netherlands", "title" : "The end of mass homeownership? Changes in labour markets and housing tenure opportunities across Europe", "type" : "article-journal" }, "uris" : [ "http://www.mendeley.com/documents/?uuid=46069d34-9caf-492c-adc3-76afa0aa152b" ] } ], "mendeley" : { "formattedCitation" : "(Arundel &amp; Doling, 2017)", "manualFormatting" : "(Arundel &amp; Doling, 2017;", "plainTextFormattedCitation" : "(Arundel &amp; Doling, 2017)", "previouslyFormattedCitation" : "(Arundel &amp; Doling, 2017)" }, "properties" : { "noteIndex" : 0 }, "schema" : "https://github.com/citation-style-language/schema/raw/master/csl-citation.json" }</w:instrText>
      </w:r>
      <w:r>
        <w:rPr>
          <w:rFonts w:eastAsia="Calibri" w:cs="Times New Roman"/>
          <w:szCs w:val="24"/>
        </w:rPr>
        <w:fldChar w:fldCharType="separate"/>
      </w:r>
      <w:r w:rsidRPr="00366405">
        <w:rPr>
          <w:rFonts w:eastAsia="Calibri" w:cs="Times New Roman"/>
          <w:noProof/>
          <w:szCs w:val="24"/>
        </w:rPr>
        <w:t>(Arundel &amp; Doling, 2017</w:t>
      </w:r>
      <w:r>
        <w:rPr>
          <w:rFonts w:eastAsia="Calibri" w:cs="Times New Roman"/>
          <w:noProof/>
          <w:szCs w:val="24"/>
        </w:rPr>
        <w:t>;</w:t>
      </w:r>
      <w:r>
        <w:rPr>
          <w:rFonts w:eastAsia="Calibri" w:cs="Times New Roman"/>
          <w:szCs w:val="24"/>
        </w:rPr>
        <w:fldChar w:fldCharType="end"/>
      </w:r>
      <w:r>
        <w:rPr>
          <w:rFonts w:eastAsia="Calibri" w:cs="Times New Roman"/>
          <w:szCs w:val="24"/>
        </w:rPr>
        <w:t xml:space="preserve"> </w:t>
      </w:r>
      <w:r w:rsidRPr="0052206A">
        <w:rPr>
          <w:rFonts w:eastAsia="Calibri" w:cs="Times New Roman"/>
          <w:szCs w:val="24"/>
        </w:rPr>
        <w:t xml:space="preserve">Kennett et al., 2013; Belsky, 2013). These challenges </w:t>
      </w:r>
      <w:r>
        <w:rPr>
          <w:rFonts w:eastAsia="Calibri" w:cs="Times New Roman"/>
          <w:szCs w:val="24"/>
        </w:rPr>
        <w:t>were</w:t>
      </w:r>
      <w:r w:rsidRPr="0052206A">
        <w:rPr>
          <w:rFonts w:eastAsia="Calibri" w:cs="Times New Roman"/>
          <w:szCs w:val="24"/>
        </w:rPr>
        <w:t xml:space="preserve"> further debated by the researchers on the transitions of </w:t>
      </w:r>
      <w:r>
        <w:rPr>
          <w:rFonts w:eastAsia="Calibri" w:cs="Times New Roman"/>
          <w:szCs w:val="24"/>
        </w:rPr>
        <w:t xml:space="preserve">the </w:t>
      </w:r>
      <w:r w:rsidRPr="0052206A">
        <w:rPr>
          <w:rFonts w:eastAsia="Calibri" w:cs="Times New Roman"/>
          <w:szCs w:val="24"/>
        </w:rPr>
        <w:t>younger people into independent living. Their housing opportunities</w:t>
      </w:r>
      <w:r>
        <w:rPr>
          <w:rFonts w:eastAsia="Calibri" w:cs="Times New Roman"/>
          <w:szCs w:val="24"/>
        </w:rPr>
        <w:t>,</w:t>
      </w:r>
      <w:r w:rsidRPr="0052206A">
        <w:rPr>
          <w:rFonts w:eastAsia="Calibri" w:cs="Times New Roman"/>
          <w:szCs w:val="24"/>
        </w:rPr>
        <w:t xml:space="preserve"> in general</w:t>
      </w:r>
      <w:r>
        <w:rPr>
          <w:rFonts w:eastAsia="Calibri" w:cs="Times New Roman"/>
          <w:szCs w:val="24"/>
        </w:rPr>
        <w:t>,</w:t>
      </w:r>
      <w:r w:rsidRPr="0052206A">
        <w:rPr>
          <w:rFonts w:eastAsia="Calibri" w:cs="Times New Roman"/>
          <w:szCs w:val="24"/>
        </w:rPr>
        <w:t xml:space="preserve"> and homeownership</w:t>
      </w:r>
      <w:r>
        <w:rPr>
          <w:rFonts w:eastAsia="Calibri" w:cs="Times New Roman"/>
          <w:szCs w:val="24"/>
        </w:rPr>
        <w:t>,</w:t>
      </w:r>
      <w:r w:rsidRPr="0052206A">
        <w:rPr>
          <w:rFonts w:eastAsia="Calibri" w:cs="Times New Roman"/>
          <w:szCs w:val="24"/>
        </w:rPr>
        <w:t xml:space="preserve"> in particular, ha</w:t>
      </w:r>
      <w:r>
        <w:rPr>
          <w:rFonts w:eastAsia="Calibri" w:cs="Times New Roman"/>
          <w:szCs w:val="24"/>
        </w:rPr>
        <w:t>d</w:t>
      </w:r>
      <w:r w:rsidRPr="0052206A">
        <w:rPr>
          <w:rFonts w:eastAsia="Calibri" w:cs="Times New Roman"/>
          <w:szCs w:val="24"/>
        </w:rPr>
        <w:t xml:space="preserve"> been in decline due to </w:t>
      </w:r>
      <w:r>
        <w:rPr>
          <w:rFonts w:eastAsia="Calibri" w:cs="Times New Roman"/>
          <w:szCs w:val="24"/>
        </w:rPr>
        <w:t xml:space="preserve">the </w:t>
      </w:r>
      <w:r w:rsidRPr="0052206A">
        <w:rPr>
          <w:rFonts w:eastAsia="Calibri" w:cs="Times New Roman"/>
          <w:szCs w:val="24"/>
        </w:rPr>
        <w:t>non-</w:t>
      </w:r>
      <w:r w:rsidRPr="0052206A">
        <w:rPr>
          <w:rFonts w:eastAsia="Calibri" w:cs="Times New Roman"/>
          <w:szCs w:val="24"/>
        </w:rPr>
        <w:lastRenderedPageBreak/>
        <w:t>availability of easy and fair mortgage credit (</w:t>
      </w:r>
      <w:proofErr w:type="spellStart"/>
      <w:r w:rsidRPr="0052206A">
        <w:rPr>
          <w:rFonts w:eastAsia="Calibri" w:cs="Times New Roman"/>
          <w:szCs w:val="24"/>
        </w:rPr>
        <w:t>Lennartz</w:t>
      </w:r>
      <w:proofErr w:type="spellEnd"/>
      <w:r w:rsidR="002C2735">
        <w:rPr>
          <w:rFonts w:eastAsia="Calibri" w:cs="Times New Roman"/>
          <w:szCs w:val="24"/>
        </w:rPr>
        <w:t>, Arundel &amp; Ronald</w:t>
      </w:r>
      <w:r w:rsidRPr="0052206A">
        <w:rPr>
          <w:rFonts w:eastAsia="Calibri" w:cs="Times New Roman"/>
          <w:szCs w:val="24"/>
        </w:rPr>
        <w:t>, 2016) and difficulty in obtaining mortgage finances (</w:t>
      </w:r>
      <w:r w:rsidR="00D7225D">
        <w:rPr>
          <w:rFonts w:eastAsia="Calibri" w:cs="Times New Roman"/>
          <w:szCs w:val="24"/>
        </w:rPr>
        <w:t xml:space="preserve">Arundel &amp; Doling, 2017; </w:t>
      </w:r>
      <w:proofErr w:type="spellStart"/>
      <w:r w:rsidRPr="0052206A">
        <w:rPr>
          <w:rFonts w:eastAsia="Calibri" w:cs="Times New Roman"/>
          <w:szCs w:val="24"/>
        </w:rPr>
        <w:t>Filandri</w:t>
      </w:r>
      <w:proofErr w:type="spellEnd"/>
      <w:r w:rsidRPr="0052206A">
        <w:rPr>
          <w:rFonts w:eastAsia="Calibri" w:cs="Times New Roman"/>
          <w:szCs w:val="24"/>
        </w:rPr>
        <w:t xml:space="preserve"> &amp; </w:t>
      </w:r>
      <w:proofErr w:type="spellStart"/>
      <w:r w:rsidRPr="0052206A">
        <w:rPr>
          <w:rFonts w:eastAsia="Calibri" w:cs="Times New Roman"/>
          <w:szCs w:val="24"/>
        </w:rPr>
        <w:t>Bertolini</w:t>
      </w:r>
      <w:proofErr w:type="spellEnd"/>
      <w:r w:rsidRPr="0052206A">
        <w:rPr>
          <w:rFonts w:eastAsia="Calibri" w:cs="Times New Roman"/>
          <w:szCs w:val="24"/>
        </w:rPr>
        <w:t xml:space="preserve">, 2016). </w:t>
      </w:r>
    </w:p>
    <w:p w14:paraId="2AEFC52C" w14:textId="22D2BF39" w:rsidR="00AD2C53" w:rsidRDefault="00AD2C53" w:rsidP="004E63A5">
      <w:pPr>
        <w:spacing w:after="0"/>
        <w:ind w:firstLine="720"/>
        <w:rPr>
          <w:rFonts w:eastAsia="Calibri" w:cs="Times New Roman"/>
          <w:szCs w:val="24"/>
        </w:rPr>
      </w:pPr>
      <w:r w:rsidRPr="004F58A5">
        <w:rPr>
          <w:rFonts w:eastAsia="Calibri" w:cs="Times New Roman"/>
          <w:szCs w:val="24"/>
        </w:rPr>
        <w:t xml:space="preserve">The finding of this study revealed that </w:t>
      </w:r>
      <w:r>
        <w:rPr>
          <w:rFonts w:eastAsia="Calibri" w:cs="Times New Roman"/>
          <w:szCs w:val="24"/>
        </w:rPr>
        <w:t xml:space="preserve">the </w:t>
      </w:r>
      <w:r w:rsidRPr="004F58A5">
        <w:rPr>
          <w:rFonts w:eastAsia="Calibri" w:cs="Times New Roman"/>
          <w:szCs w:val="24"/>
        </w:rPr>
        <w:t>lack of available credit distort</w:t>
      </w:r>
      <w:r>
        <w:rPr>
          <w:rFonts w:eastAsia="Calibri" w:cs="Times New Roman"/>
          <w:szCs w:val="24"/>
        </w:rPr>
        <w:t>ed the</w:t>
      </w:r>
      <w:r w:rsidRPr="004F58A5">
        <w:rPr>
          <w:rFonts w:eastAsia="Calibri" w:cs="Times New Roman"/>
          <w:szCs w:val="24"/>
        </w:rPr>
        <w:t xml:space="preserve"> housing opportunities among</w:t>
      </w:r>
      <w:r>
        <w:rPr>
          <w:rFonts w:eastAsia="Calibri" w:cs="Times New Roman"/>
          <w:szCs w:val="24"/>
        </w:rPr>
        <w:t>st</w:t>
      </w:r>
      <w:r w:rsidRPr="004F58A5">
        <w:rPr>
          <w:rFonts w:eastAsia="Calibri" w:cs="Times New Roman"/>
          <w:szCs w:val="24"/>
        </w:rPr>
        <w:t xml:space="preserve"> the young people. Based on the lending criteria imposed by the Central Bank (Bank Negara Malaysia) starting from Jan</w:t>
      </w:r>
      <w:r>
        <w:rPr>
          <w:rFonts w:eastAsia="Calibri" w:cs="Times New Roman"/>
          <w:szCs w:val="24"/>
        </w:rPr>
        <w:t>.</w:t>
      </w:r>
      <w:r w:rsidRPr="004F58A5">
        <w:rPr>
          <w:rFonts w:eastAsia="Calibri" w:cs="Times New Roman"/>
          <w:szCs w:val="24"/>
        </w:rPr>
        <w:t xml:space="preserve"> 2012, mortgage eligibility will be assessed not only based on the net income and other financial obligations, but the educational loan</w:t>
      </w:r>
      <w:r>
        <w:rPr>
          <w:rFonts w:eastAsia="Calibri" w:cs="Times New Roman"/>
          <w:szCs w:val="24"/>
        </w:rPr>
        <w:t>s,</w:t>
      </w:r>
      <w:r w:rsidRPr="004F58A5">
        <w:rPr>
          <w:rFonts w:eastAsia="Calibri" w:cs="Times New Roman"/>
          <w:szCs w:val="24"/>
        </w:rPr>
        <w:t xml:space="preserve"> such as </w:t>
      </w:r>
      <w:proofErr w:type="spellStart"/>
      <w:r w:rsidRPr="008022B0">
        <w:rPr>
          <w:rFonts w:eastAsia="Calibri" w:cs="Times New Roman"/>
          <w:i/>
          <w:szCs w:val="24"/>
        </w:rPr>
        <w:t>Perbadanan</w:t>
      </w:r>
      <w:proofErr w:type="spellEnd"/>
      <w:r w:rsidRPr="008022B0">
        <w:rPr>
          <w:rFonts w:eastAsia="Calibri" w:cs="Times New Roman"/>
          <w:i/>
          <w:szCs w:val="24"/>
        </w:rPr>
        <w:t xml:space="preserve"> </w:t>
      </w:r>
      <w:proofErr w:type="spellStart"/>
      <w:r w:rsidRPr="008022B0">
        <w:rPr>
          <w:rFonts w:eastAsia="Calibri" w:cs="Times New Roman"/>
          <w:i/>
          <w:szCs w:val="24"/>
        </w:rPr>
        <w:t>Tabung</w:t>
      </w:r>
      <w:proofErr w:type="spellEnd"/>
      <w:r w:rsidRPr="008022B0">
        <w:rPr>
          <w:rFonts w:eastAsia="Calibri" w:cs="Times New Roman"/>
          <w:i/>
          <w:szCs w:val="24"/>
        </w:rPr>
        <w:t xml:space="preserve"> Pendidikan Tinggi </w:t>
      </w:r>
      <w:proofErr w:type="spellStart"/>
      <w:r w:rsidRPr="008022B0">
        <w:rPr>
          <w:rFonts w:eastAsia="Calibri" w:cs="Times New Roman"/>
          <w:i/>
          <w:szCs w:val="24"/>
        </w:rPr>
        <w:t>Nasional</w:t>
      </w:r>
      <w:proofErr w:type="spellEnd"/>
      <w:r w:rsidRPr="008022B0">
        <w:rPr>
          <w:rFonts w:eastAsia="Calibri" w:cs="Times New Roman"/>
          <w:i/>
          <w:szCs w:val="24"/>
        </w:rPr>
        <w:t xml:space="preserve"> (PTPTN),</w:t>
      </w:r>
      <w:r w:rsidRPr="004F58A5">
        <w:rPr>
          <w:rFonts w:eastAsia="Calibri" w:cs="Times New Roman"/>
          <w:szCs w:val="24"/>
        </w:rPr>
        <w:t xml:space="preserve"> </w:t>
      </w:r>
      <w:r>
        <w:rPr>
          <w:rFonts w:eastAsia="Calibri" w:cs="Times New Roman"/>
          <w:szCs w:val="24"/>
        </w:rPr>
        <w:t>are</w:t>
      </w:r>
      <w:r w:rsidRPr="004F58A5">
        <w:rPr>
          <w:rFonts w:eastAsia="Calibri" w:cs="Times New Roman"/>
          <w:szCs w:val="24"/>
        </w:rPr>
        <w:t xml:space="preserve"> taken into account in allowing the individual to </w:t>
      </w:r>
      <w:r>
        <w:rPr>
          <w:rFonts w:eastAsia="Calibri" w:cs="Times New Roman"/>
          <w:szCs w:val="24"/>
        </w:rPr>
        <w:t xml:space="preserve">be </w:t>
      </w:r>
      <w:r w:rsidRPr="004F58A5">
        <w:rPr>
          <w:rFonts w:eastAsia="Calibri" w:cs="Times New Roman"/>
          <w:szCs w:val="24"/>
        </w:rPr>
        <w:t>eligible for the housing loan. The applicants are not authorised to apply for any loan, including housing if there are arrears in their PTPTN payment. The applicants must settle all the arrears before they can apply for the loan.</w:t>
      </w:r>
    </w:p>
    <w:p w14:paraId="0878F88E" w14:textId="640805C8" w:rsidR="00AD2C53" w:rsidRPr="00AD2C53" w:rsidRDefault="00AD2C53" w:rsidP="004E63A5">
      <w:pPr>
        <w:spacing w:after="0"/>
        <w:ind w:firstLine="720"/>
      </w:pPr>
      <w:r w:rsidRPr="008718E4">
        <w:rPr>
          <w:rFonts w:eastAsia="Calibri" w:cs="Times New Roman"/>
          <w:szCs w:val="24"/>
        </w:rPr>
        <w:t xml:space="preserve">Moreover, the maximum housing loan period was reduced to 35 years only from the previous period of 45 years (Bank Negara Malaysia, 2015). The above tighter lending guidelines have made </w:t>
      </w:r>
      <w:r>
        <w:rPr>
          <w:rFonts w:eastAsia="Calibri" w:cs="Times New Roman"/>
          <w:szCs w:val="24"/>
        </w:rPr>
        <w:t>it</w:t>
      </w:r>
      <w:r w:rsidRPr="008718E4">
        <w:rPr>
          <w:rFonts w:eastAsia="Calibri" w:cs="Times New Roman"/>
          <w:szCs w:val="24"/>
        </w:rPr>
        <w:t xml:space="preserve"> difficult</w:t>
      </w:r>
      <w:r>
        <w:rPr>
          <w:rFonts w:eastAsia="Calibri" w:cs="Times New Roman"/>
          <w:szCs w:val="24"/>
        </w:rPr>
        <w:t xml:space="preserve"> for young people</w:t>
      </w:r>
      <w:r w:rsidRPr="008718E4">
        <w:rPr>
          <w:rFonts w:eastAsia="Calibri" w:cs="Times New Roman"/>
          <w:szCs w:val="24"/>
        </w:rPr>
        <w:t xml:space="preserve"> to apply for home financing</w:t>
      </w:r>
      <w:r>
        <w:rPr>
          <w:rFonts w:eastAsia="Calibri" w:cs="Times New Roman"/>
          <w:szCs w:val="24"/>
        </w:rPr>
        <w:t>, in particular</w:t>
      </w:r>
      <w:r w:rsidRPr="008718E4">
        <w:rPr>
          <w:rFonts w:eastAsia="Calibri" w:cs="Times New Roman"/>
          <w:szCs w:val="24"/>
        </w:rPr>
        <w:t xml:space="preserve"> among the PTPTN defaulters. Additionally, with the lifestyle of the younger generation </w:t>
      </w:r>
      <w:r>
        <w:rPr>
          <w:rFonts w:eastAsia="Calibri" w:cs="Times New Roman"/>
          <w:szCs w:val="24"/>
        </w:rPr>
        <w:t>who</w:t>
      </w:r>
      <w:r w:rsidRPr="008718E4">
        <w:rPr>
          <w:rFonts w:eastAsia="Calibri" w:cs="Times New Roman"/>
          <w:szCs w:val="24"/>
        </w:rPr>
        <w:t xml:space="preserve"> </w:t>
      </w:r>
      <w:r>
        <w:rPr>
          <w:rFonts w:eastAsia="Calibri" w:cs="Times New Roman"/>
          <w:szCs w:val="24"/>
        </w:rPr>
        <w:t>prefer to have branded items, hang</w:t>
      </w:r>
      <w:r w:rsidRPr="008718E4">
        <w:rPr>
          <w:rFonts w:eastAsia="Calibri" w:cs="Times New Roman"/>
          <w:szCs w:val="24"/>
        </w:rPr>
        <w:t xml:space="preserve"> out at </w:t>
      </w:r>
      <w:r>
        <w:rPr>
          <w:rFonts w:eastAsia="Calibri" w:cs="Times New Roman"/>
          <w:szCs w:val="24"/>
        </w:rPr>
        <w:t>coffee shops and spend</w:t>
      </w:r>
      <w:r w:rsidRPr="008718E4">
        <w:rPr>
          <w:rFonts w:eastAsia="Calibri" w:cs="Times New Roman"/>
          <w:szCs w:val="24"/>
        </w:rPr>
        <w:t xml:space="preserve"> unnecessarily using credit cards, </w:t>
      </w:r>
      <w:r>
        <w:rPr>
          <w:rFonts w:eastAsia="Calibri" w:cs="Times New Roman"/>
          <w:szCs w:val="24"/>
        </w:rPr>
        <w:t xml:space="preserve">it </w:t>
      </w:r>
      <w:r w:rsidRPr="008718E4">
        <w:rPr>
          <w:rFonts w:eastAsia="Calibri" w:cs="Times New Roman"/>
          <w:szCs w:val="24"/>
        </w:rPr>
        <w:t>make</w:t>
      </w:r>
      <w:r>
        <w:rPr>
          <w:rFonts w:eastAsia="Calibri" w:cs="Times New Roman"/>
          <w:szCs w:val="24"/>
        </w:rPr>
        <w:t xml:space="preserve">s their road </w:t>
      </w:r>
      <w:r w:rsidRPr="008718E4">
        <w:rPr>
          <w:rFonts w:eastAsia="Calibri" w:cs="Times New Roman"/>
          <w:szCs w:val="24"/>
        </w:rPr>
        <w:t>t</w:t>
      </w:r>
      <w:r>
        <w:rPr>
          <w:rFonts w:eastAsia="Calibri" w:cs="Times New Roman"/>
          <w:szCs w:val="24"/>
        </w:rPr>
        <w:t xml:space="preserve">o homeownership seem difficult </w:t>
      </w:r>
      <w:r w:rsidRPr="00F95A55">
        <w:rPr>
          <w:rFonts w:eastAsia="Calibri" w:cs="Times New Roman"/>
          <w:szCs w:val="24"/>
        </w:rPr>
        <w:t xml:space="preserve">(Asian Institute of Finance, 2015; </w:t>
      </w:r>
      <w:proofErr w:type="spellStart"/>
      <w:r w:rsidRPr="00F95A55">
        <w:rPr>
          <w:rFonts w:eastAsia="Calibri" w:cs="Times New Roman"/>
          <w:szCs w:val="24"/>
        </w:rPr>
        <w:t>Nwuba</w:t>
      </w:r>
      <w:proofErr w:type="spellEnd"/>
      <w:r w:rsidRPr="00F95A55">
        <w:rPr>
          <w:rFonts w:eastAsia="Calibri" w:cs="Times New Roman"/>
          <w:szCs w:val="24"/>
        </w:rPr>
        <w:t xml:space="preserve">, Kalu &amp; </w:t>
      </w:r>
      <w:proofErr w:type="spellStart"/>
      <w:r w:rsidRPr="00F95A55">
        <w:rPr>
          <w:rFonts w:eastAsia="Calibri" w:cs="Times New Roman"/>
          <w:szCs w:val="24"/>
        </w:rPr>
        <w:t>Umeh</w:t>
      </w:r>
      <w:proofErr w:type="spellEnd"/>
      <w:r w:rsidRPr="00F95A55">
        <w:rPr>
          <w:rFonts w:eastAsia="Calibri" w:cs="Times New Roman"/>
          <w:szCs w:val="24"/>
        </w:rPr>
        <w:t xml:space="preserve">, 2015; Majid, Said &amp; </w:t>
      </w:r>
      <w:proofErr w:type="spellStart"/>
      <w:r w:rsidRPr="00F95A55">
        <w:rPr>
          <w:rFonts w:eastAsia="Calibri" w:cs="Times New Roman"/>
          <w:szCs w:val="24"/>
        </w:rPr>
        <w:t>Daud</w:t>
      </w:r>
      <w:proofErr w:type="spellEnd"/>
      <w:r w:rsidRPr="00F95A55">
        <w:rPr>
          <w:rFonts w:eastAsia="Calibri" w:cs="Times New Roman"/>
          <w:szCs w:val="24"/>
        </w:rPr>
        <w:t>, 2014).</w:t>
      </w:r>
      <w:r w:rsidRPr="00296C12">
        <w:t xml:space="preserve"> </w:t>
      </w:r>
    </w:p>
    <w:p w14:paraId="7E9CAB6A" w14:textId="3F70DA14" w:rsidR="00AD2C53" w:rsidRDefault="00AD2C53" w:rsidP="004E63A5">
      <w:pPr>
        <w:spacing w:after="0"/>
        <w:ind w:firstLine="720"/>
        <w:rPr>
          <w:rFonts w:eastAsia="Calibri" w:cs="Times New Roman"/>
          <w:szCs w:val="24"/>
        </w:rPr>
      </w:pPr>
      <w:r w:rsidRPr="005916E8">
        <w:rPr>
          <w:rFonts w:eastAsia="Calibri" w:cs="Times New Roman"/>
          <w:szCs w:val="24"/>
        </w:rPr>
        <w:t xml:space="preserve">The challenges relating to stricter lending rules from financial institutions </w:t>
      </w:r>
      <w:r>
        <w:rPr>
          <w:rFonts w:eastAsia="Calibri" w:cs="Times New Roman"/>
          <w:szCs w:val="24"/>
        </w:rPr>
        <w:t xml:space="preserve">have been </w:t>
      </w:r>
      <w:r w:rsidRPr="005916E8">
        <w:rPr>
          <w:rFonts w:eastAsia="Calibri" w:cs="Times New Roman"/>
          <w:szCs w:val="24"/>
        </w:rPr>
        <w:t>further discussed by McKee (2012). He discover</w:t>
      </w:r>
      <w:r>
        <w:rPr>
          <w:rFonts w:eastAsia="Calibri" w:cs="Times New Roman"/>
          <w:szCs w:val="24"/>
        </w:rPr>
        <w:t>ed</w:t>
      </w:r>
      <w:r w:rsidRPr="005916E8">
        <w:rPr>
          <w:rFonts w:eastAsia="Calibri" w:cs="Times New Roman"/>
          <w:szCs w:val="24"/>
        </w:rPr>
        <w:t xml:space="preserve"> that when </w:t>
      </w:r>
      <w:r>
        <w:rPr>
          <w:rFonts w:eastAsia="Calibri" w:cs="Times New Roman"/>
          <w:szCs w:val="24"/>
        </w:rPr>
        <w:t xml:space="preserve">the </w:t>
      </w:r>
      <w:r w:rsidRPr="005916E8">
        <w:rPr>
          <w:rFonts w:eastAsia="Calibri" w:cs="Times New Roman"/>
          <w:szCs w:val="24"/>
        </w:rPr>
        <w:t xml:space="preserve">young people </w:t>
      </w:r>
      <w:r>
        <w:rPr>
          <w:rFonts w:eastAsia="Calibri" w:cs="Times New Roman"/>
          <w:szCs w:val="24"/>
        </w:rPr>
        <w:t xml:space="preserve">were </w:t>
      </w:r>
      <w:r w:rsidRPr="005916E8">
        <w:rPr>
          <w:rFonts w:eastAsia="Calibri" w:cs="Times New Roman"/>
          <w:szCs w:val="24"/>
        </w:rPr>
        <w:t xml:space="preserve">ready to leave their parental home, </w:t>
      </w:r>
      <w:r>
        <w:rPr>
          <w:rFonts w:eastAsia="Calibri" w:cs="Times New Roman"/>
          <w:szCs w:val="24"/>
        </w:rPr>
        <w:t xml:space="preserve">they faced challenges in </w:t>
      </w:r>
      <w:r w:rsidRPr="005916E8">
        <w:rPr>
          <w:rFonts w:eastAsia="Calibri" w:cs="Times New Roman"/>
          <w:szCs w:val="24"/>
        </w:rPr>
        <w:t xml:space="preserve">accessing </w:t>
      </w:r>
      <w:r w:rsidR="008022B0">
        <w:rPr>
          <w:rFonts w:eastAsia="Calibri" w:cs="Times New Roman"/>
          <w:szCs w:val="24"/>
        </w:rPr>
        <w:t xml:space="preserve">mortgage financing, thus making them as </w:t>
      </w:r>
      <w:r w:rsidRPr="005916E8">
        <w:rPr>
          <w:rFonts w:eastAsia="Calibri" w:cs="Times New Roman"/>
          <w:szCs w:val="24"/>
        </w:rPr>
        <w:t>renters, in which he portray</w:t>
      </w:r>
      <w:r>
        <w:rPr>
          <w:rFonts w:eastAsia="Calibri" w:cs="Times New Roman"/>
          <w:szCs w:val="24"/>
        </w:rPr>
        <w:t>ed</w:t>
      </w:r>
      <w:r w:rsidRPr="005916E8">
        <w:rPr>
          <w:rFonts w:eastAsia="Calibri" w:cs="Times New Roman"/>
          <w:szCs w:val="24"/>
        </w:rPr>
        <w:t xml:space="preserve"> them as the ‘</w:t>
      </w:r>
      <w:r>
        <w:rPr>
          <w:rFonts w:eastAsia="Calibri" w:cs="Times New Roman"/>
          <w:szCs w:val="24"/>
        </w:rPr>
        <w:t>rent generation</w:t>
      </w:r>
      <w:r w:rsidR="008E6FC3">
        <w:rPr>
          <w:rFonts w:eastAsia="Calibri" w:cs="Times New Roman"/>
          <w:szCs w:val="24"/>
        </w:rPr>
        <w:t>’</w:t>
      </w:r>
      <w:r w:rsidRPr="005916E8">
        <w:rPr>
          <w:rFonts w:eastAsia="Calibri" w:cs="Times New Roman"/>
          <w:szCs w:val="24"/>
        </w:rPr>
        <w:t xml:space="preserve">. </w:t>
      </w:r>
      <w:r>
        <w:rPr>
          <w:rFonts w:eastAsia="Calibri" w:cs="Times New Roman"/>
          <w:szCs w:val="24"/>
        </w:rPr>
        <w:t>In</w:t>
      </w:r>
      <w:r w:rsidRPr="005916E8">
        <w:rPr>
          <w:rFonts w:eastAsia="Calibri" w:cs="Times New Roman"/>
          <w:szCs w:val="24"/>
        </w:rPr>
        <w:t xml:space="preserve"> Malaysia, </w:t>
      </w:r>
      <w:r>
        <w:rPr>
          <w:rFonts w:eastAsia="Calibri" w:cs="Times New Roman"/>
          <w:szCs w:val="24"/>
        </w:rPr>
        <w:t xml:space="preserve">the </w:t>
      </w:r>
      <w:r w:rsidRPr="005916E8">
        <w:rPr>
          <w:rFonts w:eastAsia="Calibri" w:cs="Times New Roman"/>
          <w:szCs w:val="24"/>
        </w:rPr>
        <w:t xml:space="preserve">findings show that there </w:t>
      </w:r>
      <w:r>
        <w:rPr>
          <w:rFonts w:eastAsia="Calibri" w:cs="Times New Roman"/>
          <w:szCs w:val="24"/>
        </w:rPr>
        <w:t>were</w:t>
      </w:r>
      <w:r w:rsidRPr="005916E8">
        <w:rPr>
          <w:rFonts w:eastAsia="Calibri" w:cs="Times New Roman"/>
          <w:szCs w:val="24"/>
        </w:rPr>
        <w:t xml:space="preserve"> young people who live</w:t>
      </w:r>
      <w:r>
        <w:rPr>
          <w:rFonts w:eastAsia="Calibri" w:cs="Times New Roman"/>
          <w:szCs w:val="24"/>
        </w:rPr>
        <w:t>d</w:t>
      </w:r>
      <w:r w:rsidRPr="005916E8">
        <w:rPr>
          <w:rFonts w:eastAsia="Calibri" w:cs="Times New Roman"/>
          <w:szCs w:val="24"/>
        </w:rPr>
        <w:t xml:space="preserve"> in rented sectors, </w:t>
      </w:r>
      <w:r>
        <w:rPr>
          <w:rFonts w:eastAsia="Calibri" w:cs="Times New Roman"/>
          <w:szCs w:val="24"/>
        </w:rPr>
        <w:t>but,</w:t>
      </w:r>
      <w:r w:rsidRPr="005916E8">
        <w:rPr>
          <w:rFonts w:eastAsia="Calibri" w:cs="Times New Roman"/>
          <w:szCs w:val="24"/>
        </w:rPr>
        <w:t xml:space="preserve"> we</w:t>
      </w:r>
      <w:r>
        <w:rPr>
          <w:rFonts w:eastAsia="Calibri" w:cs="Times New Roman"/>
          <w:szCs w:val="24"/>
        </w:rPr>
        <w:t>re</w:t>
      </w:r>
      <w:r w:rsidRPr="005916E8">
        <w:rPr>
          <w:rFonts w:eastAsia="Calibri" w:cs="Times New Roman"/>
          <w:szCs w:val="24"/>
        </w:rPr>
        <w:t xml:space="preserve"> far from declaring </w:t>
      </w:r>
      <w:r>
        <w:rPr>
          <w:rFonts w:eastAsia="Calibri" w:cs="Times New Roman"/>
          <w:szCs w:val="24"/>
        </w:rPr>
        <w:t>them</w:t>
      </w:r>
      <w:r w:rsidRPr="005916E8">
        <w:rPr>
          <w:rFonts w:eastAsia="Calibri" w:cs="Times New Roman"/>
          <w:szCs w:val="24"/>
        </w:rPr>
        <w:t xml:space="preserve">selves as </w:t>
      </w:r>
      <w:r>
        <w:rPr>
          <w:rFonts w:eastAsia="Calibri" w:cs="Times New Roman"/>
          <w:szCs w:val="24"/>
        </w:rPr>
        <w:t>the ‘rent generation’</w:t>
      </w:r>
      <w:r w:rsidRPr="005916E8">
        <w:rPr>
          <w:rFonts w:eastAsia="Calibri" w:cs="Times New Roman"/>
          <w:szCs w:val="24"/>
        </w:rPr>
        <w:t xml:space="preserve"> because there </w:t>
      </w:r>
      <w:r>
        <w:rPr>
          <w:rFonts w:eastAsia="Calibri" w:cs="Times New Roman"/>
          <w:szCs w:val="24"/>
        </w:rPr>
        <w:t>were</w:t>
      </w:r>
      <w:r w:rsidRPr="005916E8">
        <w:rPr>
          <w:rFonts w:eastAsia="Calibri" w:cs="Times New Roman"/>
          <w:szCs w:val="24"/>
        </w:rPr>
        <w:t xml:space="preserve"> others who successfully entered into homeownership in spite of various challenges, and </w:t>
      </w:r>
      <w:r>
        <w:rPr>
          <w:rFonts w:eastAsia="Calibri" w:cs="Times New Roman"/>
          <w:szCs w:val="24"/>
        </w:rPr>
        <w:t>some</w:t>
      </w:r>
      <w:r w:rsidRPr="005916E8">
        <w:rPr>
          <w:rFonts w:eastAsia="Calibri" w:cs="Times New Roman"/>
          <w:szCs w:val="24"/>
        </w:rPr>
        <w:t xml:space="preserve"> who co-reside</w:t>
      </w:r>
      <w:r>
        <w:rPr>
          <w:rFonts w:eastAsia="Calibri" w:cs="Times New Roman"/>
          <w:szCs w:val="24"/>
        </w:rPr>
        <w:t>d</w:t>
      </w:r>
      <w:r w:rsidRPr="005916E8">
        <w:rPr>
          <w:rFonts w:eastAsia="Calibri" w:cs="Times New Roman"/>
          <w:szCs w:val="24"/>
        </w:rPr>
        <w:t xml:space="preserve"> with their parents.</w:t>
      </w:r>
      <w:r>
        <w:rPr>
          <w:rFonts w:eastAsia="Calibri" w:cs="Times New Roman"/>
          <w:szCs w:val="24"/>
        </w:rPr>
        <w:t xml:space="preserve"> </w:t>
      </w:r>
    </w:p>
    <w:p w14:paraId="40B5A210" w14:textId="5961B153" w:rsidR="00AD2C53" w:rsidRPr="00AD2C53" w:rsidRDefault="00BE28C1" w:rsidP="004E63A5">
      <w:pPr>
        <w:spacing w:after="0"/>
        <w:ind w:firstLine="720"/>
        <w:rPr>
          <w:rFonts w:eastAsia="Calibri" w:cs="Times New Roman"/>
          <w:szCs w:val="24"/>
        </w:rPr>
      </w:pPr>
      <w:r>
        <w:rPr>
          <w:rFonts w:eastAsia="Calibri" w:cs="Times New Roman"/>
          <w:szCs w:val="24"/>
        </w:rPr>
        <w:t>Y</w:t>
      </w:r>
      <w:r w:rsidR="00AD2C53" w:rsidRPr="00B06A07">
        <w:rPr>
          <w:rFonts w:eastAsia="Calibri" w:cs="Times New Roman"/>
          <w:szCs w:val="24"/>
        </w:rPr>
        <w:t xml:space="preserve">oung people in Malaysia </w:t>
      </w:r>
      <w:r w:rsidR="00AD2C53">
        <w:rPr>
          <w:rFonts w:eastAsia="Calibri" w:cs="Times New Roman"/>
          <w:szCs w:val="24"/>
        </w:rPr>
        <w:t xml:space="preserve">were </w:t>
      </w:r>
      <w:r w:rsidR="00AD2C53" w:rsidRPr="00B06A07">
        <w:rPr>
          <w:rFonts w:eastAsia="Calibri" w:cs="Times New Roman"/>
          <w:szCs w:val="24"/>
        </w:rPr>
        <w:t>not only concern</w:t>
      </w:r>
      <w:r w:rsidR="00AD2C53">
        <w:rPr>
          <w:rFonts w:eastAsia="Calibri" w:cs="Times New Roman"/>
          <w:szCs w:val="24"/>
        </w:rPr>
        <w:t>ed with</w:t>
      </w:r>
      <w:r w:rsidR="00AD2C53" w:rsidRPr="00B06A07">
        <w:rPr>
          <w:rFonts w:eastAsia="Calibri" w:cs="Times New Roman"/>
          <w:szCs w:val="24"/>
        </w:rPr>
        <w:t xml:space="preserve"> the price of housing, but they</w:t>
      </w:r>
      <w:r w:rsidR="00AD2C53">
        <w:rPr>
          <w:rFonts w:eastAsia="Calibri" w:cs="Times New Roman"/>
          <w:szCs w:val="24"/>
        </w:rPr>
        <w:t xml:space="preserve"> were</w:t>
      </w:r>
      <w:r w:rsidR="00AD2C53" w:rsidRPr="00B06A07">
        <w:rPr>
          <w:rFonts w:eastAsia="Calibri" w:cs="Times New Roman"/>
          <w:szCs w:val="24"/>
        </w:rPr>
        <w:t xml:space="preserve"> also confronted with difficulties </w:t>
      </w:r>
      <w:r w:rsidR="00AD2C53">
        <w:rPr>
          <w:rFonts w:eastAsia="Calibri" w:cs="Times New Roman"/>
          <w:szCs w:val="24"/>
        </w:rPr>
        <w:t>in</w:t>
      </w:r>
      <w:r w:rsidR="00AD2C53" w:rsidRPr="00B06A07">
        <w:rPr>
          <w:rFonts w:eastAsia="Calibri" w:cs="Times New Roman"/>
          <w:szCs w:val="24"/>
        </w:rPr>
        <w:t xml:space="preserve"> obtain</w:t>
      </w:r>
      <w:r w:rsidR="00AD2C53">
        <w:rPr>
          <w:rFonts w:eastAsia="Calibri" w:cs="Times New Roman"/>
          <w:szCs w:val="24"/>
        </w:rPr>
        <w:t>ing</w:t>
      </w:r>
      <w:r w:rsidR="00AD2C53" w:rsidRPr="00B06A07">
        <w:rPr>
          <w:rFonts w:eastAsia="Calibri" w:cs="Times New Roman"/>
          <w:szCs w:val="24"/>
        </w:rPr>
        <w:t xml:space="preserve"> housing loan</w:t>
      </w:r>
      <w:r w:rsidR="00AD2C53">
        <w:rPr>
          <w:rFonts w:eastAsia="Calibri" w:cs="Times New Roman"/>
          <w:szCs w:val="24"/>
        </w:rPr>
        <w:t>s</w:t>
      </w:r>
      <w:r w:rsidR="00AD2C53" w:rsidRPr="00B06A07">
        <w:rPr>
          <w:rFonts w:eastAsia="Calibri" w:cs="Times New Roman"/>
          <w:szCs w:val="24"/>
        </w:rPr>
        <w:t xml:space="preserve"> due to the stringent procedures im</w:t>
      </w:r>
      <w:r>
        <w:rPr>
          <w:rFonts w:eastAsia="Calibri" w:cs="Times New Roman"/>
          <w:szCs w:val="24"/>
        </w:rPr>
        <w:t>posed by financial institutions (</w:t>
      </w:r>
      <w:proofErr w:type="spellStart"/>
      <w:r>
        <w:rPr>
          <w:rFonts w:eastAsia="Calibri" w:cs="Times New Roman"/>
          <w:szCs w:val="24"/>
        </w:rPr>
        <w:t>Baqutayan</w:t>
      </w:r>
      <w:proofErr w:type="spellEnd"/>
      <w:r>
        <w:rPr>
          <w:rFonts w:eastAsia="Calibri" w:cs="Times New Roman"/>
          <w:szCs w:val="24"/>
        </w:rPr>
        <w:t xml:space="preserve">, </w:t>
      </w:r>
      <w:proofErr w:type="spellStart"/>
      <w:r>
        <w:rPr>
          <w:rFonts w:eastAsia="Calibri" w:cs="Times New Roman"/>
          <w:szCs w:val="24"/>
        </w:rPr>
        <w:t>Ariffin</w:t>
      </w:r>
      <w:proofErr w:type="spellEnd"/>
      <w:r>
        <w:rPr>
          <w:rFonts w:eastAsia="Calibri" w:cs="Times New Roman"/>
          <w:szCs w:val="24"/>
        </w:rPr>
        <w:t xml:space="preserve"> &amp; Raji, </w:t>
      </w:r>
      <w:r w:rsidRPr="00B06A07">
        <w:rPr>
          <w:rFonts w:eastAsia="Calibri" w:cs="Times New Roman"/>
          <w:szCs w:val="24"/>
        </w:rPr>
        <w:t>2016)</w:t>
      </w:r>
      <w:r>
        <w:rPr>
          <w:rFonts w:eastAsia="Calibri" w:cs="Times New Roman"/>
          <w:szCs w:val="24"/>
        </w:rPr>
        <w:t>.</w:t>
      </w:r>
      <w:r w:rsidRPr="00B06A07">
        <w:rPr>
          <w:rFonts w:eastAsia="Calibri" w:cs="Times New Roman"/>
          <w:szCs w:val="24"/>
        </w:rPr>
        <w:t xml:space="preserve"> </w:t>
      </w:r>
      <w:r w:rsidR="00AD2C53" w:rsidRPr="00B06A07">
        <w:rPr>
          <w:rFonts w:eastAsia="Calibri" w:cs="Times New Roman"/>
          <w:szCs w:val="24"/>
        </w:rPr>
        <w:t>The above results support past studies regarding the challenges faced by young people in Europe. The result of this study discover</w:t>
      </w:r>
      <w:r w:rsidR="00AD2C53">
        <w:rPr>
          <w:rFonts w:eastAsia="Calibri" w:cs="Times New Roman"/>
          <w:szCs w:val="24"/>
        </w:rPr>
        <w:t>ed</w:t>
      </w:r>
      <w:r w:rsidR="00AD2C53" w:rsidRPr="00B06A07">
        <w:rPr>
          <w:rFonts w:eastAsia="Calibri" w:cs="Times New Roman"/>
          <w:szCs w:val="24"/>
        </w:rPr>
        <w:t xml:space="preserve"> that social policy ha</w:t>
      </w:r>
      <w:r w:rsidR="00AD2C53">
        <w:rPr>
          <w:rFonts w:eastAsia="Calibri" w:cs="Times New Roman"/>
          <w:szCs w:val="24"/>
        </w:rPr>
        <w:t>d</w:t>
      </w:r>
      <w:r w:rsidR="00AD2C53" w:rsidRPr="00B06A07">
        <w:rPr>
          <w:rFonts w:eastAsia="Calibri" w:cs="Times New Roman"/>
          <w:szCs w:val="24"/>
        </w:rPr>
        <w:t xml:space="preserve"> a significant influence on the housing opportunities of the young people. It was argued that the tenure status of the young adults (either to rent or to own) depend</w:t>
      </w:r>
      <w:r w:rsidR="00AD2C53">
        <w:rPr>
          <w:rFonts w:eastAsia="Calibri" w:cs="Times New Roman"/>
          <w:szCs w:val="24"/>
        </w:rPr>
        <w:t>ed</w:t>
      </w:r>
      <w:r w:rsidR="00AD2C53" w:rsidRPr="00B06A07">
        <w:rPr>
          <w:rFonts w:eastAsia="Calibri" w:cs="Times New Roman"/>
          <w:szCs w:val="24"/>
        </w:rPr>
        <w:t xml:space="preserve"> on the policy of the state (</w:t>
      </w:r>
      <w:proofErr w:type="spellStart"/>
      <w:r w:rsidR="00AD2C53" w:rsidRPr="00B06A07">
        <w:rPr>
          <w:rFonts w:eastAsia="Calibri" w:cs="Times New Roman"/>
          <w:szCs w:val="24"/>
        </w:rPr>
        <w:t>Filandri</w:t>
      </w:r>
      <w:proofErr w:type="spellEnd"/>
      <w:r w:rsidR="00AD2C53" w:rsidRPr="00B06A07">
        <w:rPr>
          <w:rFonts w:eastAsia="Calibri" w:cs="Times New Roman"/>
          <w:szCs w:val="24"/>
        </w:rPr>
        <w:t xml:space="preserve"> &amp; </w:t>
      </w:r>
      <w:proofErr w:type="spellStart"/>
      <w:r w:rsidR="00AD2C53" w:rsidRPr="00B06A07">
        <w:rPr>
          <w:rFonts w:eastAsia="Calibri" w:cs="Times New Roman"/>
          <w:szCs w:val="24"/>
        </w:rPr>
        <w:t>Bertolini</w:t>
      </w:r>
      <w:proofErr w:type="spellEnd"/>
      <w:r w:rsidR="00AD2C53" w:rsidRPr="00B06A07">
        <w:rPr>
          <w:rFonts w:eastAsia="Calibri" w:cs="Times New Roman"/>
          <w:szCs w:val="24"/>
        </w:rPr>
        <w:t xml:space="preserve">, 2016). </w:t>
      </w:r>
    </w:p>
    <w:p w14:paraId="7A08F8C6" w14:textId="299639E6" w:rsidR="00AD2C53" w:rsidRDefault="00AD2C53" w:rsidP="004E63A5">
      <w:pPr>
        <w:spacing w:after="0"/>
        <w:ind w:firstLine="720"/>
        <w:rPr>
          <w:rFonts w:eastAsia="Calibri" w:cs="Times New Roman"/>
          <w:szCs w:val="24"/>
        </w:rPr>
      </w:pPr>
      <w:r w:rsidRPr="004C5948">
        <w:rPr>
          <w:rFonts w:eastAsia="Calibri" w:cs="Times New Roman"/>
          <w:szCs w:val="24"/>
        </w:rPr>
        <w:t>In China and other East Asian countries, their pro-homeownership policy has caused other segments to suffer from housing problems</w:t>
      </w:r>
      <w:r>
        <w:rPr>
          <w:rFonts w:eastAsia="Calibri" w:cs="Times New Roman"/>
          <w:szCs w:val="24"/>
        </w:rPr>
        <w:t>,</w:t>
      </w:r>
      <w:r w:rsidRPr="004C5948">
        <w:rPr>
          <w:rFonts w:eastAsia="Calibri" w:cs="Times New Roman"/>
          <w:szCs w:val="24"/>
        </w:rPr>
        <w:t xml:space="preserve"> including the young civil servants</w:t>
      </w:r>
      <w:r>
        <w:rPr>
          <w:rFonts w:eastAsia="Calibri" w:cs="Times New Roman"/>
          <w:szCs w:val="24"/>
        </w:rPr>
        <w:t>,</w:t>
      </w:r>
      <w:r w:rsidRPr="004C5948">
        <w:rPr>
          <w:rFonts w:eastAsia="Calibri" w:cs="Times New Roman"/>
          <w:szCs w:val="24"/>
        </w:rPr>
        <w:t xml:space="preserve"> due to unfriendly</w:t>
      </w:r>
      <w:r w:rsidRPr="00015F75">
        <w:rPr>
          <w:rFonts w:eastAsia="Calibri" w:cs="Times New Roman"/>
          <w:szCs w:val="24"/>
        </w:rPr>
        <w:t xml:space="preserve"> institutional arrangements</w:t>
      </w:r>
      <w:r>
        <w:rPr>
          <w:rFonts w:eastAsia="Calibri" w:cs="Times New Roman"/>
          <w:szCs w:val="24"/>
        </w:rPr>
        <w:t xml:space="preserve">. As there are too many housing schemes facilitating </w:t>
      </w:r>
      <w:r>
        <w:rPr>
          <w:rFonts w:eastAsia="Calibri" w:cs="Times New Roman"/>
          <w:szCs w:val="24"/>
        </w:rPr>
        <w:lastRenderedPageBreak/>
        <w:t xml:space="preserve">homeownership amongst the people, the policy has failed to provide suitable housing schemes for the younger households </w:t>
      </w:r>
      <w:r w:rsidRPr="00015F75">
        <w:rPr>
          <w:rFonts w:eastAsia="Calibri" w:cs="Times New Roman"/>
          <w:szCs w:val="24"/>
        </w:rPr>
        <w:t xml:space="preserve"> (Zhu, 2013; </w:t>
      </w:r>
      <w:r w:rsidRPr="00015F75">
        <w:rPr>
          <w:rFonts w:eastAsia="Calibri" w:cs="Times New Roman"/>
          <w:szCs w:val="24"/>
        </w:rPr>
        <w:fldChar w:fldCharType="begin" w:fldLock="1"/>
      </w:r>
      <w:r w:rsidRPr="00015F75">
        <w:rPr>
          <w:rFonts w:eastAsia="Calibri" w:cs="Times New Roman"/>
          <w:szCs w:val="24"/>
        </w:rPr>
        <w:instrText>ADDIN CSL_CITATION { "citationItems" : [ { "id" : "ITEM-1", "itemData" : { "DOI" : "10.1007/s10901-009-9177-6", "ISSN" : "1566-4910", "author" : [ { "dropping-particle" : "", "family" : "Doling", "given" : "John", "non-dropping-particle" : "", "parse-names" : false, "suffix" : "" }, { "dropping-particle" : "", "family" : "Ronald", "given" : "Richard", "non-dropping-particle" : "", "parse-names" : false, "suffix" : "" } ], "container-title" : "Journal of Housing and the Built Environment", "id" : "ITEM-1", "issue" : "2", "issued" : { "date-parts" : [ [ "2010", "1", "10" ] ] }, "page" : "165-173", "title" : "Home ownership and asset-based welfare", "type" : "article-journal", "volume" : "25" }, "uris" : [ "http://www.mendeley.com/documents/?uuid=9cef208c-f391-480d-bec3-5bb08d6f958c" ] } ], "mendeley" : { "formattedCitation" : "(Doling &amp; Ronald, 2010)", "manualFormatting" : "Doling &amp; Ronald, 2010)", "plainTextFormattedCitation" : "(Doling &amp; Ronald, 2010)", "previouslyFormattedCitation" : "(Doling &amp; Ronald, 2010)" }, "properties" : { "noteIndex" : 0 }, "schema" : "https://github.com/citation-style-language/schema/raw/master/csl-citation.json" }</w:instrText>
      </w:r>
      <w:r w:rsidRPr="00015F75">
        <w:rPr>
          <w:rFonts w:eastAsia="Calibri" w:cs="Times New Roman"/>
          <w:szCs w:val="24"/>
        </w:rPr>
        <w:fldChar w:fldCharType="separate"/>
      </w:r>
      <w:r w:rsidRPr="00015F75">
        <w:rPr>
          <w:rFonts w:eastAsia="Calibri" w:cs="Times New Roman"/>
          <w:noProof/>
          <w:szCs w:val="24"/>
        </w:rPr>
        <w:t>Doling &amp; Ronald, 2010)</w:t>
      </w:r>
      <w:r w:rsidRPr="00015F75">
        <w:rPr>
          <w:rFonts w:eastAsia="Calibri" w:cs="Times New Roman"/>
          <w:szCs w:val="24"/>
        </w:rPr>
        <w:fldChar w:fldCharType="end"/>
      </w:r>
      <w:r>
        <w:rPr>
          <w:rFonts w:eastAsia="Calibri" w:cs="Times New Roman"/>
          <w:szCs w:val="24"/>
        </w:rPr>
        <w:t xml:space="preserve">. </w:t>
      </w:r>
    </w:p>
    <w:p w14:paraId="13829D50" w14:textId="0159C2BF" w:rsidR="00AD2C53" w:rsidRDefault="00AD2C53" w:rsidP="004E63A5">
      <w:pPr>
        <w:spacing w:after="0"/>
        <w:ind w:firstLine="720"/>
        <w:rPr>
          <w:rFonts w:eastAsia="Calibri" w:cs="Times New Roman"/>
          <w:szCs w:val="24"/>
        </w:rPr>
      </w:pPr>
      <w:r w:rsidRPr="009326B4">
        <w:rPr>
          <w:rFonts w:eastAsia="Calibri" w:cs="Times New Roman"/>
          <w:szCs w:val="24"/>
        </w:rPr>
        <w:t>Besides</w:t>
      </w:r>
      <w:r w:rsidR="00BA704C">
        <w:rPr>
          <w:rFonts w:eastAsia="Calibri" w:cs="Times New Roman"/>
          <w:szCs w:val="24"/>
        </w:rPr>
        <w:t xml:space="preserve">, </w:t>
      </w:r>
      <w:r>
        <w:rPr>
          <w:rFonts w:eastAsia="Calibri" w:cs="Times New Roman"/>
          <w:szCs w:val="24"/>
        </w:rPr>
        <w:t xml:space="preserve">the </w:t>
      </w:r>
      <w:r w:rsidRPr="009326B4">
        <w:rPr>
          <w:rFonts w:eastAsia="Calibri" w:cs="Times New Roman"/>
          <w:szCs w:val="24"/>
        </w:rPr>
        <w:t>respondents also faced challenges related to a shortage of affordable housing in the market. There are many housing developments in this country, but most of the housing development</w:t>
      </w:r>
      <w:r>
        <w:rPr>
          <w:rFonts w:eastAsia="Calibri" w:cs="Times New Roman"/>
          <w:szCs w:val="24"/>
        </w:rPr>
        <w:t>s have been</w:t>
      </w:r>
      <w:r w:rsidRPr="009326B4">
        <w:rPr>
          <w:rFonts w:eastAsia="Calibri" w:cs="Times New Roman"/>
          <w:szCs w:val="24"/>
        </w:rPr>
        <w:t xml:space="preserve"> focused towards the high housing properties, thus neglect</w:t>
      </w:r>
      <w:r>
        <w:rPr>
          <w:rFonts w:eastAsia="Calibri" w:cs="Times New Roman"/>
          <w:szCs w:val="24"/>
        </w:rPr>
        <w:t>ing</w:t>
      </w:r>
      <w:r w:rsidRPr="009326B4">
        <w:rPr>
          <w:rFonts w:eastAsia="Calibri" w:cs="Times New Roman"/>
          <w:szCs w:val="24"/>
        </w:rPr>
        <w:t xml:space="preserve"> the need</w:t>
      </w:r>
      <w:r>
        <w:rPr>
          <w:rFonts w:eastAsia="Calibri" w:cs="Times New Roman"/>
          <w:szCs w:val="24"/>
        </w:rPr>
        <w:t xml:space="preserve"> for</w:t>
      </w:r>
      <w:r w:rsidRPr="009326B4">
        <w:rPr>
          <w:rFonts w:eastAsia="Calibri" w:cs="Times New Roman"/>
          <w:szCs w:val="24"/>
        </w:rPr>
        <w:t xml:space="preserve"> affordable housing development</w:t>
      </w:r>
      <w:r>
        <w:rPr>
          <w:rFonts w:eastAsia="Calibri" w:cs="Times New Roman"/>
          <w:szCs w:val="24"/>
        </w:rPr>
        <w:t>s</w:t>
      </w:r>
      <w:r w:rsidRPr="009326B4">
        <w:rPr>
          <w:rFonts w:eastAsia="Calibri" w:cs="Times New Roman"/>
          <w:szCs w:val="24"/>
        </w:rPr>
        <w:t xml:space="preserve">. This can be seen from the evidence showing that </w:t>
      </w:r>
      <w:r>
        <w:rPr>
          <w:rFonts w:eastAsia="Calibri" w:cs="Times New Roman"/>
          <w:szCs w:val="24"/>
        </w:rPr>
        <w:t xml:space="preserve">the </w:t>
      </w:r>
      <w:r w:rsidRPr="009326B4">
        <w:rPr>
          <w:rFonts w:eastAsia="Calibri" w:cs="Times New Roman"/>
          <w:szCs w:val="24"/>
        </w:rPr>
        <w:t xml:space="preserve">average housing price recorded in Q4 2016 </w:t>
      </w:r>
      <w:r>
        <w:rPr>
          <w:rFonts w:eastAsia="Calibri" w:cs="Times New Roman"/>
          <w:szCs w:val="24"/>
        </w:rPr>
        <w:t>was</w:t>
      </w:r>
      <w:r w:rsidRPr="009326B4">
        <w:rPr>
          <w:rFonts w:eastAsia="Calibri" w:cs="Times New Roman"/>
          <w:szCs w:val="24"/>
        </w:rPr>
        <w:t xml:space="preserve"> more than RM500,000 in Selangor and Kuala Lumpur compared to an affordable segment of RM 250,000 to RM450,000 (</w:t>
      </w:r>
      <w:proofErr w:type="spellStart"/>
      <w:r w:rsidRPr="009326B4">
        <w:rPr>
          <w:rFonts w:eastAsia="Calibri" w:cs="Times New Roman"/>
          <w:szCs w:val="24"/>
        </w:rPr>
        <w:t>Khazanah</w:t>
      </w:r>
      <w:proofErr w:type="spellEnd"/>
      <w:r w:rsidRPr="009326B4">
        <w:rPr>
          <w:rFonts w:eastAsia="Calibri" w:cs="Times New Roman"/>
          <w:szCs w:val="24"/>
        </w:rPr>
        <w:t xml:space="preserve"> Research Institute, 2015; National Pr</w:t>
      </w:r>
      <w:r w:rsidR="00543814">
        <w:rPr>
          <w:rFonts w:eastAsia="Calibri" w:cs="Times New Roman"/>
          <w:szCs w:val="24"/>
        </w:rPr>
        <w:t>operty Information Centre, 201</w:t>
      </w:r>
      <w:r w:rsidR="007B008F">
        <w:rPr>
          <w:rFonts w:eastAsia="Calibri" w:cs="Times New Roman"/>
          <w:szCs w:val="24"/>
        </w:rPr>
        <w:t>6</w:t>
      </w:r>
      <w:r w:rsidRPr="009326B4">
        <w:rPr>
          <w:rFonts w:eastAsia="Calibri" w:cs="Times New Roman"/>
          <w:szCs w:val="24"/>
        </w:rPr>
        <w:t>).</w:t>
      </w:r>
    </w:p>
    <w:p w14:paraId="4E9AE6BC" w14:textId="3A6F0BF2" w:rsidR="00AD2C53" w:rsidRDefault="00AD2C53" w:rsidP="004E63A5">
      <w:pPr>
        <w:spacing w:after="0"/>
        <w:rPr>
          <w:rFonts w:eastAsia="Calibri" w:cs="Times New Roman"/>
          <w:szCs w:val="24"/>
        </w:rPr>
      </w:pPr>
      <w:r>
        <w:rPr>
          <w:rFonts w:eastAsia="Calibri" w:cs="Times New Roman"/>
          <w:szCs w:val="24"/>
        </w:rPr>
        <w:tab/>
      </w:r>
      <w:r w:rsidRPr="0072006B">
        <w:rPr>
          <w:rFonts w:eastAsia="Calibri" w:cs="Times New Roman"/>
          <w:szCs w:val="24"/>
        </w:rPr>
        <w:t xml:space="preserve">The issue aligned with </w:t>
      </w:r>
      <w:proofErr w:type="spellStart"/>
      <w:r w:rsidRPr="0072006B">
        <w:rPr>
          <w:rFonts w:eastAsia="Calibri" w:cs="Times New Roman"/>
          <w:szCs w:val="24"/>
        </w:rPr>
        <w:t>Ariffin</w:t>
      </w:r>
      <w:proofErr w:type="spellEnd"/>
      <w:r w:rsidR="0007606D">
        <w:rPr>
          <w:rFonts w:eastAsia="Calibri" w:cs="Times New Roman"/>
          <w:szCs w:val="24"/>
        </w:rPr>
        <w:t xml:space="preserve">, Omar &amp; </w:t>
      </w:r>
      <w:proofErr w:type="spellStart"/>
      <w:r w:rsidR="0007606D">
        <w:rPr>
          <w:rFonts w:eastAsia="Calibri" w:cs="Times New Roman"/>
          <w:szCs w:val="24"/>
        </w:rPr>
        <w:t>Sa’dun</w:t>
      </w:r>
      <w:proofErr w:type="spellEnd"/>
      <w:r w:rsidRPr="0072006B">
        <w:rPr>
          <w:rFonts w:eastAsia="Calibri" w:cs="Times New Roman"/>
          <w:szCs w:val="24"/>
        </w:rPr>
        <w:t>, (2013) in his study which indicates that Malaysian</w:t>
      </w:r>
      <w:r>
        <w:rPr>
          <w:rFonts w:eastAsia="Calibri" w:cs="Times New Roman"/>
          <w:szCs w:val="24"/>
        </w:rPr>
        <w:t>s</w:t>
      </w:r>
      <w:r w:rsidRPr="0072006B">
        <w:rPr>
          <w:rFonts w:eastAsia="Calibri" w:cs="Times New Roman"/>
          <w:szCs w:val="24"/>
        </w:rPr>
        <w:t xml:space="preserve"> faced difficulties </w:t>
      </w:r>
      <w:r>
        <w:rPr>
          <w:rFonts w:eastAsia="Calibri" w:cs="Times New Roman"/>
          <w:szCs w:val="24"/>
        </w:rPr>
        <w:t>in</w:t>
      </w:r>
      <w:r w:rsidRPr="0072006B">
        <w:rPr>
          <w:rFonts w:eastAsia="Calibri" w:cs="Times New Roman"/>
          <w:szCs w:val="24"/>
        </w:rPr>
        <w:t xml:space="preserve"> access</w:t>
      </w:r>
      <w:r>
        <w:rPr>
          <w:rFonts w:eastAsia="Calibri" w:cs="Times New Roman"/>
          <w:szCs w:val="24"/>
        </w:rPr>
        <w:t>ing</w:t>
      </w:r>
      <w:r w:rsidRPr="0072006B">
        <w:rPr>
          <w:rFonts w:eastAsia="Calibri" w:cs="Times New Roman"/>
          <w:szCs w:val="24"/>
        </w:rPr>
        <w:t xml:space="preserve"> homeownership due to </w:t>
      </w:r>
      <w:r>
        <w:rPr>
          <w:rFonts w:eastAsia="Calibri" w:cs="Times New Roman"/>
          <w:szCs w:val="24"/>
        </w:rPr>
        <w:t xml:space="preserve">the </w:t>
      </w:r>
      <w:r w:rsidRPr="0072006B">
        <w:rPr>
          <w:rFonts w:eastAsia="Calibri" w:cs="Times New Roman"/>
          <w:szCs w:val="24"/>
        </w:rPr>
        <w:t>lack o</w:t>
      </w:r>
      <w:r>
        <w:rPr>
          <w:rFonts w:eastAsia="Calibri" w:cs="Times New Roman"/>
          <w:szCs w:val="24"/>
        </w:rPr>
        <w:t>f affordable housing which led</w:t>
      </w:r>
      <w:r w:rsidRPr="0072006B">
        <w:rPr>
          <w:rFonts w:eastAsia="Calibri" w:cs="Times New Roman"/>
          <w:szCs w:val="24"/>
        </w:rPr>
        <w:t xml:space="preserve"> to housing stress. This was due to the escalating housing price</w:t>
      </w:r>
      <w:r>
        <w:rPr>
          <w:rFonts w:eastAsia="Calibri" w:cs="Times New Roman"/>
          <w:szCs w:val="24"/>
        </w:rPr>
        <w:t>s</w:t>
      </w:r>
      <w:r w:rsidRPr="0072006B">
        <w:rPr>
          <w:rFonts w:eastAsia="Calibri" w:cs="Times New Roman"/>
          <w:szCs w:val="24"/>
        </w:rPr>
        <w:t xml:space="preserve"> in the market, mismatch</w:t>
      </w:r>
      <w:r>
        <w:rPr>
          <w:rFonts w:eastAsia="Calibri" w:cs="Times New Roman"/>
          <w:szCs w:val="24"/>
        </w:rPr>
        <w:t>ing</w:t>
      </w:r>
      <w:r w:rsidRPr="0072006B">
        <w:rPr>
          <w:rFonts w:eastAsia="Calibri" w:cs="Times New Roman"/>
          <w:szCs w:val="24"/>
        </w:rPr>
        <w:t xml:space="preserve"> between supply and demand</w:t>
      </w:r>
      <w:r>
        <w:rPr>
          <w:rFonts w:eastAsia="Calibri" w:cs="Times New Roman"/>
          <w:szCs w:val="24"/>
        </w:rPr>
        <w:t>,</w:t>
      </w:r>
      <w:r w:rsidRPr="0072006B">
        <w:rPr>
          <w:rFonts w:eastAsia="Calibri" w:cs="Times New Roman"/>
          <w:szCs w:val="24"/>
        </w:rPr>
        <w:t xml:space="preserve"> and </w:t>
      </w:r>
      <w:r>
        <w:rPr>
          <w:rFonts w:eastAsia="Calibri" w:cs="Times New Roman"/>
          <w:szCs w:val="24"/>
        </w:rPr>
        <w:t xml:space="preserve">the </w:t>
      </w:r>
      <w:r w:rsidRPr="0072006B">
        <w:rPr>
          <w:rFonts w:eastAsia="Calibri" w:cs="Times New Roman"/>
          <w:szCs w:val="24"/>
        </w:rPr>
        <w:t>lack of quality houses. In another study, A</w:t>
      </w:r>
      <w:r>
        <w:rPr>
          <w:rFonts w:eastAsia="Calibri" w:cs="Times New Roman"/>
          <w:szCs w:val="24"/>
        </w:rPr>
        <w:t>hmad</w:t>
      </w:r>
      <w:r w:rsidR="00F902B2">
        <w:rPr>
          <w:rFonts w:eastAsia="Calibri" w:cs="Times New Roman"/>
          <w:szCs w:val="24"/>
        </w:rPr>
        <w:t xml:space="preserve">, Farah Hanan &amp; </w:t>
      </w:r>
      <w:proofErr w:type="spellStart"/>
      <w:r w:rsidR="00F902B2">
        <w:rPr>
          <w:rFonts w:eastAsia="Calibri" w:cs="Times New Roman"/>
          <w:szCs w:val="24"/>
        </w:rPr>
        <w:t>Hasmah</w:t>
      </w:r>
      <w:proofErr w:type="spellEnd"/>
      <w:r w:rsidRPr="0072006B">
        <w:rPr>
          <w:rFonts w:eastAsia="Calibri" w:cs="Times New Roman"/>
          <w:szCs w:val="24"/>
        </w:rPr>
        <w:t xml:space="preserve"> (2015) further emphasised that among factors influencing generation Y</w:t>
      </w:r>
      <w:r>
        <w:rPr>
          <w:rFonts w:eastAsia="Calibri" w:cs="Times New Roman"/>
          <w:szCs w:val="24"/>
        </w:rPr>
        <w:t xml:space="preserve"> were the</w:t>
      </w:r>
      <w:r w:rsidRPr="0072006B">
        <w:rPr>
          <w:rFonts w:eastAsia="Calibri" w:cs="Times New Roman"/>
          <w:szCs w:val="24"/>
        </w:rPr>
        <w:t xml:space="preserve"> housing affordability problems</w:t>
      </w:r>
      <w:r>
        <w:rPr>
          <w:rFonts w:eastAsia="Calibri" w:cs="Times New Roman"/>
          <w:szCs w:val="24"/>
        </w:rPr>
        <w:t xml:space="preserve">, </w:t>
      </w:r>
      <w:r w:rsidRPr="0072006B">
        <w:rPr>
          <w:rFonts w:eastAsia="Calibri" w:cs="Times New Roman"/>
          <w:szCs w:val="24"/>
        </w:rPr>
        <w:t>difficult to pay the deposit, h</w:t>
      </w:r>
      <w:r>
        <w:rPr>
          <w:rFonts w:eastAsia="Calibri" w:cs="Times New Roman"/>
          <w:szCs w:val="24"/>
        </w:rPr>
        <w:t>ouse prices were</w:t>
      </w:r>
      <w:r w:rsidRPr="0072006B">
        <w:rPr>
          <w:rFonts w:eastAsia="Calibri" w:cs="Times New Roman"/>
          <w:szCs w:val="24"/>
        </w:rPr>
        <w:t xml:space="preserve"> too high, lack of </w:t>
      </w:r>
      <w:r>
        <w:rPr>
          <w:rFonts w:eastAsia="Calibri" w:cs="Times New Roman"/>
          <w:szCs w:val="24"/>
        </w:rPr>
        <w:t xml:space="preserve">an </w:t>
      </w:r>
      <w:r w:rsidRPr="0072006B">
        <w:rPr>
          <w:rFonts w:eastAsia="Calibri" w:cs="Times New Roman"/>
          <w:szCs w:val="24"/>
        </w:rPr>
        <w:t>affordable houses supply in the</w:t>
      </w:r>
      <w:r>
        <w:rPr>
          <w:rFonts w:eastAsia="Calibri" w:cs="Times New Roman"/>
          <w:szCs w:val="24"/>
        </w:rPr>
        <w:t xml:space="preserve"> market, small size and quality </w:t>
      </w:r>
      <w:r w:rsidRPr="0072006B">
        <w:rPr>
          <w:rFonts w:eastAsia="Calibri" w:cs="Times New Roman"/>
          <w:szCs w:val="24"/>
        </w:rPr>
        <w:t xml:space="preserve">of </w:t>
      </w:r>
      <w:r>
        <w:rPr>
          <w:rFonts w:eastAsia="Calibri" w:cs="Times New Roman"/>
          <w:szCs w:val="24"/>
        </w:rPr>
        <w:t xml:space="preserve">the </w:t>
      </w:r>
      <w:r w:rsidRPr="0072006B">
        <w:rPr>
          <w:rFonts w:eastAsia="Calibri" w:cs="Times New Roman"/>
          <w:szCs w:val="24"/>
        </w:rPr>
        <w:t>houses.</w:t>
      </w:r>
    </w:p>
    <w:p w14:paraId="7E4B2A7C" w14:textId="24A9C0D9" w:rsidR="00394D4A" w:rsidRPr="009326B4" w:rsidRDefault="00AD2C53" w:rsidP="004E63A5">
      <w:pPr>
        <w:spacing w:after="0"/>
        <w:ind w:firstLine="720"/>
        <w:rPr>
          <w:rFonts w:eastAsia="Calibri" w:cs="Times New Roman"/>
          <w:szCs w:val="24"/>
        </w:rPr>
      </w:pPr>
      <w:r w:rsidRPr="009326B4">
        <w:rPr>
          <w:rFonts w:eastAsia="Calibri" w:cs="Times New Roman"/>
          <w:szCs w:val="24"/>
        </w:rPr>
        <w:t>The shortage of affordable housing was further emphasised in a study conducted by Fun (2012). His findings revealed that young people age</w:t>
      </w:r>
      <w:r>
        <w:rPr>
          <w:rFonts w:eastAsia="Calibri" w:cs="Times New Roman"/>
          <w:szCs w:val="24"/>
        </w:rPr>
        <w:t>d</w:t>
      </w:r>
      <w:r w:rsidRPr="009326B4">
        <w:rPr>
          <w:rFonts w:eastAsia="Calibri" w:cs="Times New Roman"/>
          <w:szCs w:val="24"/>
        </w:rPr>
        <w:t xml:space="preserve"> 25-34 years in Hong Kong faced various challenges entering the housing market due to </w:t>
      </w:r>
      <w:r>
        <w:rPr>
          <w:rFonts w:eastAsia="Calibri" w:cs="Times New Roman"/>
          <w:szCs w:val="24"/>
        </w:rPr>
        <w:t xml:space="preserve">the </w:t>
      </w:r>
      <w:r w:rsidRPr="009326B4">
        <w:rPr>
          <w:rFonts w:eastAsia="Calibri" w:cs="Times New Roman"/>
          <w:szCs w:val="24"/>
        </w:rPr>
        <w:t>lack of appropriate and affordable housing stocks as well as insufficient down payments.</w:t>
      </w:r>
    </w:p>
    <w:p w14:paraId="717DD0FC" w14:textId="5A2BFA55" w:rsidR="00394D4A" w:rsidRDefault="00394D4A" w:rsidP="004E63A5">
      <w:pPr>
        <w:spacing w:after="0"/>
        <w:ind w:firstLine="720"/>
        <w:rPr>
          <w:rFonts w:eastAsia="Calibri" w:cs="Times New Roman"/>
          <w:szCs w:val="24"/>
        </w:rPr>
      </w:pPr>
      <w:r w:rsidRPr="009326B4">
        <w:rPr>
          <w:rFonts w:eastAsia="Calibri" w:cs="Times New Roman"/>
          <w:szCs w:val="24"/>
        </w:rPr>
        <w:t xml:space="preserve">Other than </w:t>
      </w:r>
      <w:r>
        <w:rPr>
          <w:rFonts w:eastAsia="Calibri" w:cs="Times New Roman"/>
          <w:szCs w:val="24"/>
        </w:rPr>
        <w:t xml:space="preserve">the </w:t>
      </w:r>
      <w:r w:rsidRPr="009326B4">
        <w:rPr>
          <w:rFonts w:eastAsia="Calibri" w:cs="Times New Roman"/>
          <w:szCs w:val="24"/>
        </w:rPr>
        <w:t xml:space="preserve">strict eligibility rules from financial institutions and the shortage of affordable housing, the respondents in this study also faced challenges pertaining to </w:t>
      </w:r>
      <w:r>
        <w:rPr>
          <w:rFonts w:eastAsia="Calibri" w:cs="Times New Roman"/>
          <w:szCs w:val="24"/>
        </w:rPr>
        <w:t xml:space="preserve">the </w:t>
      </w:r>
      <w:r w:rsidRPr="009326B4">
        <w:rPr>
          <w:rFonts w:eastAsia="Calibri" w:cs="Times New Roman"/>
          <w:szCs w:val="24"/>
        </w:rPr>
        <w:t xml:space="preserve">housing deposit. There is a rule in </w:t>
      </w:r>
      <w:r>
        <w:rPr>
          <w:rFonts w:eastAsia="Calibri" w:cs="Times New Roman"/>
          <w:szCs w:val="24"/>
        </w:rPr>
        <w:t xml:space="preserve">the </w:t>
      </w:r>
      <w:r w:rsidRPr="009326B4">
        <w:rPr>
          <w:rFonts w:eastAsia="Calibri" w:cs="Times New Roman"/>
          <w:szCs w:val="24"/>
        </w:rPr>
        <w:t>Malaysia</w:t>
      </w:r>
      <w:r>
        <w:rPr>
          <w:rFonts w:eastAsia="Calibri" w:cs="Times New Roman"/>
          <w:szCs w:val="24"/>
        </w:rPr>
        <w:t>n</w:t>
      </w:r>
      <w:r w:rsidRPr="009326B4">
        <w:rPr>
          <w:rFonts w:eastAsia="Calibri" w:cs="Times New Roman"/>
          <w:szCs w:val="24"/>
        </w:rPr>
        <w:t xml:space="preserve"> housing system that a 10 to 20 percent housing deposit from the purchase price is required for the down-payment as most of the banks in Malaysia only offer to finance up to </w:t>
      </w:r>
      <w:r>
        <w:rPr>
          <w:rFonts w:eastAsia="Calibri" w:cs="Times New Roman"/>
          <w:szCs w:val="24"/>
        </w:rPr>
        <w:t xml:space="preserve">a </w:t>
      </w:r>
      <w:r w:rsidRPr="009326B4">
        <w:rPr>
          <w:rFonts w:eastAsia="Calibri" w:cs="Times New Roman"/>
          <w:szCs w:val="24"/>
        </w:rPr>
        <w:t>70 to 90 percent margin of financing for housing (Bank Negara Malaysia (BNM), 2003; BNM, 2013). Due to the ruling guideline, the government has come out with the incentive to help the middle-income group with the down-payment assistance (M</w:t>
      </w:r>
      <w:r w:rsidR="000920C6">
        <w:rPr>
          <w:rFonts w:eastAsia="Calibri" w:cs="Times New Roman"/>
          <w:szCs w:val="24"/>
        </w:rPr>
        <w:t xml:space="preserve">inistry of </w:t>
      </w:r>
      <w:r w:rsidRPr="009326B4">
        <w:rPr>
          <w:rFonts w:eastAsia="Calibri" w:cs="Times New Roman"/>
          <w:szCs w:val="24"/>
        </w:rPr>
        <w:t>F</w:t>
      </w:r>
      <w:r w:rsidR="000920C6">
        <w:rPr>
          <w:rFonts w:eastAsia="Calibri" w:cs="Times New Roman"/>
          <w:szCs w:val="24"/>
        </w:rPr>
        <w:t>inance</w:t>
      </w:r>
      <w:r w:rsidRPr="009326B4">
        <w:rPr>
          <w:rFonts w:eastAsia="Calibri" w:cs="Times New Roman"/>
          <w:szCs w:val="24"/>
        </w:rPr>
        <w:t xml:space="preserve">, 2016; NHD, 2016). For this group, the majority of who </w:t>
      </w:r>
      <w:r>
        <w:rPr>
          <w:rFonts w:eastAsia="Calibri" w:cs="Times New Roman"/>
          <w:szCs w:val="24"/>
        </w:rPr>
        <w:t>were</w:t>
      </w:r>
      <w:r w:rsidRPr="009326B4">
        <w:rPr>
          <w:rFonts w:eastAsia="Calibri" w:cs="Times New Roman"/>
          <w:szCs w:val="24"/>
        </w:rPr>
        <w:t xml:space="preserve"> new in the workforce, the 10 percent rule for </w:t>
      </w:r>
      <w:r>
        <w:rPr>
          <w:rFonts w:eastAsia="Calibri" w:cs="Times New Roman"/>
          <w:szCs w:val="24"/>
        </w:rPr>
        <w:t xml:space="preserve">the </w:t>
      </w:r>
      <w:r w:rsidRPr="009326B4">
        <w:rPr>
          <w:rFonts w:eastAsia="Calibri" w:cs="Times New Roman"/>
          <w:szCs w:val="24"/>
        </w:rPr>
        <w:t xml:space="preserve">housing deposit for the first time home-buyers </w:t>
      </w:r>
      <w:r>
        <w:rPr>
          <w:rFonts w:eastAsia="Calibri" w:cs="Times New Roman"/>
          <w:szCs w:val="24"/>
        </w:rPr>
        <w:t>was</w:t>
      </w:r>
      <w:r w:rsidRPr="009326B4">
        <w:rPr>
          <w:rFonts w:eastAsia="Calibri" w:cs="Times New Roman"/>
          <w:szCs w:val="24"/>
        </w:rPr>
        <w:t xml:space="preserve"> considered high, and they f</w:t>
      </w:r>
      <w:r>
        <w:rPr>
          <w:rFonts w:eastAsia="Calibri" w:cs="Times New Roman"/>
          <w:szCs w:val="24"/>
        </w:rPr>
        <w:t>ound</w:t>
      </w:r>
      <w:r w:rsidRPr="009326B4">
        <w:rPr>
          <w:rFonts w:eastAsia="Calibri" w:cs="Times New Roman"/>
          <w:szCs w:val="24"/>
        </w:rPr>
        <w:t xml:space="preserve"> it difficult for them to secure the deposit (</w:t>
      </w:r>
      <w:r w:rsidR="00684C08" w:rsidRPr="001D7571">
        <w:rPr>
          <w:rFonts w:eastAsia="Times New Roman" w:cs="Times New Roman"/>
          <w:noProof/>
          <w:szCs w:val="24"/>
          <w:lang w:val="en-US"/>
        </w:rPr>
        <w:t>Ministry of Urban Well-being, Housing and Local Government</w:t>
      </w:r>
      <w:r w:rsidRPr="009326B4">
        <w:rPr>
          <w:rFonts w:eastAsia="Calibri" w:cs="Times New Roman"/>
          <w:szCs w:val="24"/>
        </w:rPr>
        <w:t xml:space="preserve">, 2013).  </w:t>
      </w:r>
    </w:p>
    <w:p w14:paraId="339CE1CE" w14:textId="7E9F630B" w:rsidR="00394D4A" w:rsidRPr="0051556D" w:rsidRDefault="00394D4A" w:rsidP="00E0051F">
      <w:pPr>
        <w:spacing w:after="0"/>
        <w:ind w:firstLine="720"/>
        <w:rPr>
          <w:rFonts w:eastAsia="Calibri" w:cs="Times New Roman"/>
          <w:szCs w:val="24"/>
        </w:rPr>
      </w:pPr>
      <w:r w:rsidRPr="0051556D">
        <w:rPr>
          <w:rFonts w:eastAsia="Calibri" w:cs="Times New Roman"/>
          <w:szCs w:val="24"/>
        </w:rPr>
        <w:t xml:space="preserve">Consistent with </w:t>
      </w:r>
      <w:r>
        <w:rPr>
          <w:rFonts w:eastAsia="Calibri" w:cs="Times New Roman"/>
          <w:szCs w:val="24"/>
        </w:rPr>
        <w:t xml:space="preserve">the </w:t>
      </w:r>
      <w:r w:rsidRPr="0051556D">
        <w:rPr>
          <w:rFonts w:eastAsia="Calibri" w:cs="Times New Roman"/>
          <w:szCs w:val="24"/>
        </w:rPr>
        <w:t xml:space="preserve">results from the survey, </w:t>
      </w:r>
      <w:r>
        <w:rPr>
          <w:rFonts w:eastAsia="Calibri" w:cs="Times New Roman"/>
          <w:szCs w:val="24"/>
        </w:rPr>
        <w:t xml:space="preserve">the </w:t>
      </w:r>
      <w:r w:rsidRPr="0051556D">
        <w:rPr>
          <w:rFonts w:eastAsia="Calibri" w:cs="Times New Roman"/>
          <w:szCs w:val="24"/>
        </w:rPr>
        <w:t>findings from th</w:t>
      </w:r>
      <w:r w:rsidR="00FD2CDB">
        <w:rPr>
          <w:rFonts w:eastAsia="Calibri" w:cs="Times New Roman"/>
          <w:szCs w:val="24"/>
        </w:rPr>
        <w:t>e</w:t>
      </w:r>
      <w:r w:rsidRPr="0051556D">
        <w:rPr>
          <w:rFonts w:eastAsia="Calibri" w:cs="Times New Roman"/>
          <w:szCs w:val="24"/>
        </w:rPr>
        <w:t xml:space="preserve"> interview confirmed that these young people faced challenges in terms of providing the housing deposit/down </w:t>
      </w:r>
      <w:r w:rsidRPr="0051556D">
        <w:rPr>
          <w:rFonts w:eastAsia="Calibri" w:cs="Times New Roman"/>
          <w:szCs w:val="24"/>
        </w:rPr>
        <w:lastRenderedPageBreak/>
        <w:t>payment. Many of the respondents (young people) during the interview state</w:t>
      </w:r>
      <w:r>
        <w:rPr>
          <w:rFonts w:eastAsia="Calibri" w:cs="Times New Roman"/>
          <w:szCs w:val="24"/>
        </w:rPr>
        <w:t>d</w:t>
      </w:r>
      <w:r w:rsidRPr="0051556D">
        <w:rPr>
          <w:rFonts w:eastAsia="Calibri" w:cs="Times New Roman"/>
          <w:szCs w:val="24"/>
        </w:rPr>
        <w:t xml:space="preserve"> that</w:t>
      </w:r>
      <w:r>
        <w:rPr>
          <w:rFonts w:eastAsia="Calibri" w:cs="Times New Roman"/>
          <w:szCs w:val="24"/>
        </w:rPr>
        <w:t>,</w:t>
      </w:r>
      <w:r w:rsidRPr="0051556D">
        <w:rPr>
          <w:rFonts w:eastAsia="Calibri" w:cs="Times New Roman"/>
          <w:szCs w:val="24"/>
        </w:rPr>
        <w:t xml:space="preserve"> even if they c</w:t>
      </w:r>
      <w:r>
        <w:rPr>
          <w:rFonts w:eastAsia="Calibri" w:cs="Times New Roman"/>
          <w:szCs w:val="24"/>
        </w:rPr>
        <w:t>ould</w:t>
      </w:r>
      <w:r w:rsidRPr="0051556D">
        <w:rPr>
          <w:rFonts w:eastAsia="Calibri" w:cs="Times New Roman"/>
          <w:szCs w:val="24"/>
        </w:rPr>
        <w:t xml:space="preserve"> afford the monthly loan instalment, they still faced difficulties </w:t>
      </w:r>
      <w:r>
        <w:rPr>
          <w:rFonts w:eastAsia="Calibri" w:cs="Times New Roman"/>
          <w:szCs w:val="24"/>
        </w:rPr>
        <w:t>in</w:t>
      </w:r>
      <w:r w:rsidRPr="0051556D">
        <w:rPr>
          <w:rFonts w:eastAsia="Calibri" w:cs="Times New Roman"/>
          <w:szCs w:val="24"/>
        </w:rPr>
        <w:t xml:space="preserve"> provid</w:t>
      </w:r>
      <w:r>
        <w:rPr>
          <w:rFonts w:eastAsia="Calibri" w:cs="Times New Roman"/>
          <w:szCs w:val="24"/>
        </w:rPr>
        <w:t>ing the</w:t>
      </w:r>
      <w:r w:rsidRPr="0051556D">
        <w:rPr>
          <w:rFonts w:eastAsia="Calibri" w:cs="Times New Roman"/>
          <w:szCs w:val="24"/>
        </w:rPr>
        <w:t xml:space="preserve"> housing deposits. However, they stressed that they faced difficulties </w:t>
      </w:r>
      <w:r>
        <w:rPr>
          <w:rFonts w:eastAsia="Calibri" w:cs="Times New Roman"/>
          <w:szCs w:val="24"/>
        </w:rPr>
        <w:t>in</w:t>
      </w:r>
      <w:r w:rsidRPr="0051556D">
        <w:rPr>
          <w:rFonts w:eastAsia="Calibri" w:cs="Times New Roman"/>
          <w:szCs w:val="24"/>
        </w:rPr>
        <w:t xml:space="preserve"> sav</w:t>
      </w:r>
      <w:r>
        <w:rPr>
          <w:rFonts w:eastAsia="Calibri" w:cs="Times New Roman"/>
          <w:szCs w:val="24"/>
        </w:rPr>
        <w:t>ing</w:t>
      </w:r>
      <w:r w:rsidRPr="0051556D">
        <w:rPr>
          <w:rFonts w:eastAsia="Calibri" w:cs="Times New Roman"/>
          <w:szCs w:val="24"/>
        </w:rPr>
        <w:t xml:space="preserve"> for the housing deposit because of their limited financial capability. As argued by </w:t>
      </w:r>
      <w:proofErr w:type="spellStart"/>
      <w:r w:rsidRPr="0051556D">
        <w:rPr>
          <w:rFonts w:eastAsia="Calibri" w:cs="Times New Roman"/>
          <w:szCs w:val="24"/>
        </w:rPr>
        <w:t>Hoolachan</w:t>
      </w:r>
      <w:proofErr w:type="spellEnd"/>
      <w:r>
        <w:rPr>
          <w:rFonts w:eastAsia="Calibri" w:cs="Times New Roman"/>
          <w:szCs w:val="24"/>
        </w:rPr>
        <w:t>,</w:t>
      </w:r>
      <w:r w:rsidRPr="0051556D">
        <w:rPr>
          <w:rFonts w:eastAsia="Calibri" w:cs="Times New Roman"/>
          <w:szCs w:val="24"/>
        </w:rPr>
        <w:t xml:space="preserve"> </w:t>
      </w:r>
      <w:r w:rsidR="00AA17BD">
        <w:rPr>
          <w:rFonts w:eastAsia="Calibri" w:cs="Times New Roman"/>
          <w:szCs w:val="24"/>
        </w:rPr>
        <w:t>McKee</w:t>
      </w:r>
      <w:r w:rsidRPr="0051556D">
        <w:rPr>
          <w:rFonts w:eastAsia="Calibri" w:cs="Times New Roman"/>
          <w:szCs w:val="24"/>
        </w:rPr>
        <w:t>,</w:t>
      </w:r>
      <w:r w:rsidR="00AA17BD">
        <w:rPr>
          <w:rFonts w:eastAsia="Calibri" w:cs="Times New Roman"/>
          <w:szCs w:val="24"/>
        </w:rPr>
        <w:t xml:space="preserve"> Moore &amp; </w:t>
      </w:r>
      <w:proofErr w:type="spellStart"/>
      <w:r w:rsidR="00AA17BD">
        <w:rPr>
          <w:rFonts w:eastAsia="Calibri" w:cs="Times New Roman"/>
          <w:szCs w:val="24"/>
        </w:rPr>
        <w:t>Soaita</w:t>
      </w:r>
      <w:proofErr w:type="spellEnd"/>
      <w:r w:rsidRPr="0051556D">
        <w:rPr>
          <w:rFonts w:eastAsia="Calibri" w:cs="Times New Roman"/>
          <w:szCs w:val="24"/>
        </w:rPr>
        <w:t xml:space="preserve"> (2016), it is impossible for the young people to save for the housing whil</w:t>
      </w:r>
      <w:r>
        <w:rPr>
          <w:rFonts w:eastAsia="Calibri" w:cs="Times New Roman"/>
          <w:szCs w:val="24"/>
        </w:rPr>
        <w:t>st</w:t>
      </w:r>
      <w:r w:rsidRPr="0051556D">
        <w:rPr>
          <w:rFonts w:eastAsia="Calibri" w:cs="Times New Roman"/>
          <w:szCs w:val="24"/>
        </w:rPr>
        <w:t xml:space="preserve"> renting because of other financial commitments. The housing crisis among</w:t>
      </w:r>
      <w:r>
        <w:rPr>
          <w:rFonts w:eastAsia="Calibri" w:cs="Times New Roman"/>
          <w:szCs w:val="24"/>
        </w:rPr>
        <w:t>st</w:t>
      </w:r>
      <w:r w:rsidRPr="0051556D">
        <w:rPr>
          <w:rFonts w:eastAsia="Calibri" w:cs="Times New Roman"/>
          <w:szCs w:val="24"/>
        </w:rPr>
        <w:t xml:space="preserve"> the middle-income group in Malaysia has </w:t>
      </w:r>
      <w:r>
        <w:rPr>
          <w:rFonts w:eastAsia="Calibri" w:cs="Times New Roman"/>
          <w:szCs w:val="24"/>
        </w:rPr>
        <w:t xml:space="preserve">been </w:t>
      </w:r>
      <w:r w:rsidRPr="0051556D">
        <w:rPr>
          <w:rFonts w:eastAsia="Calibri" w:cs="Times New Roman"/>
          <w:szCs w:val="24"/>
        </w:rPr>
        <w:t xml:space="preserve">further documented in a study conducted by Hamzah and Adnan (2016). The study revealed that this group of people faced difficulties </w:t>
      </w:r>
      <w:r>
        <w:rPr>
          <w:rFonts w:eastAsia="Calibri" w:cs="Times New Roman"/>
          <w:szCs w:val="24"/>
        </w:rPr>
        <w:t>in</w:t>
      </w:r>
      <w:r w:rsidRPr="0051556D">
        <w:rPr>
          <w:rFonts w:eastAsia="Calibri" w:cs="Times New Roman"/>
          <w:szCs w:val="24"/>
        </w:rPr>
        <w:t xml:space="preserve"> pay</w:t>
      </w:r>
      <w:r>
        <w:rPr>
          <w:rFonts w:eastAsia="Calibri" w:cs="Times New Roman"/>
          <w:szCs w:val="24"/>
        </w:rPr>
        <w:t>ing</w:t>
      </w:r>
      <w:r w:rsidRPr="0051556D">
        <w:rPr>
          <w:rFonts w:eastAsia="Calibri" w:cs="Times New Roman"/>
          <w:szCs w:val="24"/>
        </w:rPr>
        <w:t xml:space="preserve"> for </w:t>
      </w:r>
      <w:r>
        <w:rPr>
          <w:rFonts w:eastAsia="Calibri" w:cs="Times New Roman"/>
          <w:szCs w:val="24"/>
        </w:rPr>
        <w:t xml:space="preserve">the </w:t>
      </w:r>
      <w:r w:rsidRPr="0051556D">
        <w:rPr>
          <w:rFonts w:eastAsia="Calibri" w:cs="Times New Roman"/>
          <w:szCs w:val="24"/>
        </w:rPr>
        <w:t xml:space="preserve">housing deposit and monthly payments for </w:t>
      </w:r>
      <w:r>
        <w:rPr>
          <w:rFonts w:eastAsia="Calibri" w:cs="Times New Roman"/>
          <w:szCs w:val="24"/>
        </w:rPr>
        <w:t xml:space="preserve">the </w:t>
      </w:r>
      <w:r w:rsidRPr="0051556D">
        <w:rPr>
          <w:rFonts w:eastAsia="Calibri" w:cs="Times New Roman"/>
          <w:szCs w:val="24"/>
        </w:rPr>
        <w:t>house purchase. This can be seen from the following comments:</w:t>
      </w:r>
    </w:p>
    <w:p w14:paraId="2ED8F411" w14:textId="6B38BE1F" w:rsidR="00394D4A" w:rsidRPr="00521D3E" w:rsidRDefault="00394D4A" w:rsidP="004E63A5">
      <w:pPr>
        <w:spacing w:line="240" w:lineRule="auto"/>
        <w:ind w:left="720" w:right="1124"/>
        <w:rPr>
          <w:i/>
          <w:sz w:val="22"/>
        </w:rPr>
      </w:pPr>
      <w:r w:rsidRPr="00521D3E">
        <w:rPr>
          <w:i/>
          <w:sz w:val="22"/>
        </w:rPr>
        <w:t>“I think to buy a house is so difficult because I need to save for the 10 percent housing deposit calculated from the purchase price. Not only that, I also must pay the legal fees</w:t>
      </w:r>
      <w:r>
        <w:rPr>
          <w:i/>
          <w:sz w:val="22"/>
        </w:rPr>
        <w:t>,</w:t>
      </w:r>
      <w:r w:rsidRPr="00521D3E">
        <w:rPr>
          <w:i/>
          <w:sz w:val="22"/>
        </w:rPr>
        <w:t xml:space="preserve"> such as sales and purchase agreement and all that. For young people like me, with the current cost of living, rental payment, transportation costs</w:t>
      </w:r>
      <w:r>
        <w:rPr>
          <w:i/>
          <w:sz w:val="22"/>
        </w:rPr>
        <w:t>,</w:t>
      </w:r>
      <w:r w:rsidRPr="00521D3E">
        <w:rPr>
          <w:i/>
          <w:sz w:val="22"/>
        </w:rPr>
        <w:t xml:space="preserve"> and others,</w:t>
      </w:r>
      <w:r>
        <w:rPr>
          <w:i/>
          <w:sz w:val="22"/>
        </w:rPr>
        <w:t xml:space="preserve"> there is</w:t>
      </w:r>
      <w:r w:rsidRPr="00521D3E">
        <w:rPr>
          <w:i/>
          <w:sz w:val="22"/>
        </w:rPr>
        <w:t xml:space="preserve"> not enough for me to save for the housing deposit. I also don’t know when I</w:t>
      </w:r>
      <w:r>
        <w:rPr>
          <w:i/>
          <w:sz w:val="22"/>
        </w:rPr>
        <w:t xml:space="preserve"> can</w:t>
      </w:r>
      <w:r w:rsidRPr="00521D3E">
        <w:rPr>
          <w:i/>
          <w:sz w:val="22"/>
        </w:rPr>
        <w:t xml:space="preserve"> own my dream house”</w:t>
      </w:r>
    </w:p>
    <w:p w14:paraId="379BA044" w14:textId="7AE29CC6" w:rsidR="00394D4A" w:rsidRPr="00521D3E" w:rsidRDefault="00394D4A" w:rsidP="004E63A5">
      <w:pPr>
        <w:spacing w:line="240" w:lineRule="auto"/>
        <w:ind w:left="3600" w:right="1124" w:firstLine="720"/>
        <w:rPr>
          <w:sz w:val="22"/>
        </w:rPr>
      </w:pPr>
      <w:r w:rsidRPr="00521D3E">
        <w:rPr>
          <w:sz w:val="22"/>
        </w:rPr>
        <w:t xml:space="preserve">   (Anas Mikael/</w:t>
      </w:r>
      <w:r>
        <w:rPr>
          <w:sz w:val="22"/>
        </w:rPr>
        <w:t xml:space="preserve">17 </w:t>
      </w:r>
      <w:r w:rsidRPr="00521D3E">
        <w:rPr>
          <w:sz w:val="22"/>
        </w:rPr>
        <w:t>Dec 2016/4pm)</w:t>
      </w:r>
    </w:p>
    <w:p w14:paraId="417F955A" w14:textId="0ECFA5A8" w:rsidR="00394D4A" w:rsidRPr="004E63A5" w:rsidRDefault="00394D4A" w:rsidP="004E63A5">
      <w:pPr>
        <w:spacing w:line="240" w:lineRule="auto"/>
        <w:ind w:left="720" w:right="1124"/>
        <w:rPr>
          <w:i/>
          <w:sz w:val="22"/>
        </w:rPr>
      </w:pPr>
      <w:r w:rsidRPr="00521D3E">
        <w:rPr>
          <w:i/>
          <w:sz w:val="22"/>
        </w:rPr>
        <w:t>“Talking about housing deposit made me feel sick. There is time when I went to sales office to survey for a house. There is house that I can afford, but when it comes to paying 10 percent for the deposit, oh… it turns me off...at this time, I don’t have such</w:t>
      </w:r>
      <w:r>
        <w:rPr>
          <w:i/>
          <w:sz w:val="22"/>
        </w:rPr>
        <w:t xml:space="preserve"> an</w:t>
      </w:r>
      <w:r w:rsidRPr="00521D3E">
        <w:rPr>
          <w:i/>
          <w:sz w:val="22"/>
        </w:rPr>
        <w:t xml:space="preserve"> amount to pay for the down-payment, in fact, to pay for booking fees (RM5,000 at t</w:t>
      </w:r>
      <w:r>
        <w:rPr>
          <w:i/>
          <w:sz w:val="22"/>
        </w:rPr>
        <w:t>hat time) also I cannot afford”</w:t>
      </w:r>
      <w:r w:rsidRPr="00521D3E">
        <w:rPr>
          <w:sz w:val="22"/>
        </w:rPr>
        <w:t xml:space="preserve">  </w:t>
      </w:r>
      <w:r w:rsidRPr="00521D3E">
        <w:rPr>
          <w:sz w:val="22"/>
        </w:rPr>
        <w:tab/>
      </w:r>
      <w:r w:rsidRPr="00521D3E">
        <w:rPr>
          <w:sz w:val="22"/>
        </w:rPr>
        <w:tab/>
      </w:r>
      <w:r w:rsidRPr="00521D3E">
        <w:rPr>
          <w:sz w:val="22"/>
        </w:rPr>
        <w:tab/>
      </w:r>
      <w:r w:rsidRPr="00521D3E">
        <w:rPr>
          <w:sz w:val="22"/>
        </w:rPr>
        <w:tab/>
      </w:r>
      <w:r w:rsidRPr="00521D3E">
        <w:rPr>
          <w:sz w:val="22"/>
        </w:rPr>
        <w:tab/>
      </w:r>
      <w:r w:rsidRPr="00521D3E">
        <w:rPr>
          <w:sz w:val="22"/>
        </w:rPr>
        <w:tab/>
      </w:r>
      <w:r w:rsidRPr="00521D3E">
        <w:rPr>
          <w:sz w:val="22"/>
        </w:rPr>
        <w:tab/>
      </w:r>
      <w:r w:rsidRPr="00521D3E">
        <w:rPr>
          <w:sz w:val="22"/>
        </w:rPr>
        <w:tab/>
      </w:r>
      <w:r>
        <w:rPr>
          <w:sz w:val="22"/>
        </w:rPr>
        <w:t xml:space="preserve">      </w:t>
      </w:r>
      <w:r w:rsidRPr="00521D3E">
        <w:rPr>
          <w:sz w:val="22"/>
        </w:rPr>
        <w:t>(Christina /</w:t>
      </w:r>
      <w:r>
        <w:rPr>
          <w:sz w:val="22"/>
        </w:rPr>
        <w:t xml:space="preserve">10 </w:t>
      </w:r>
      <w:r w:rsidRPr="00521D3E">
        <w:rPr>
          <w:sz w:val="22"/>
        </w:rPr>
        <w:t>Dec 2016/10am)</w:t>
      </w:r>
    </w:p>
    <w:p w14:paraId="26642BC7" w14:textId="02EE7FD8" w:rsidR="00394D4A" w:rsidRPr="00394D4A" w:rsidRDefault="00394D4A" w:rsidP="004E63A5">
      <w:pPr>
        <w:spacing w:line="240" w:lineRule="auto"/>
        <w:ind w:left="720" w:right="1124"/>
        <w:rPr>
          <w:i/>
          <w:sz w:val="22"/>
        </w:rPr>
      </w:pPr>
      <w:r w:rsidRPr="00521D3E">
        <w:rPr>
          <w:i/>
          <w:sz w:val="22"/>
        </w:rPr>
        <w:t>“I wish that we don’t have to pay for</w:t>
      </w:r>
      <w:r>
        <w:rPr>
          <w:i/>
          <w:sz w:val="22"/>
        </w:rPr>
        <w:t xml:space="preserve"> the</w:t>
      </w:r>
      <w:r w:rsidRPr="00521D3E">
        <w:rPr>
          <w:i/>
          <w:sz w:val="22"/>
        </w:rPr>
        <w:t xml:space="preserve"> housing down-payment, I think then</w:t>
      </w:r>
      <w:r>
        <w:rPr>
          <w:i/>
          <w:sz w:val="22"/>
        </w:rPr>
        <w:t>,</w:t>
      </w:r>
      <w:r w:rsidRPr="00521D3E">
        <w:rPr>
          <w:i/>
          <w:sz w:val="22"/>
        </w:rPr>
        <w:t xml:space="preserve"> only</w:t>
      </w:r>
      <w:r>
        <w:rPr>
          <w:i/>
          <w:sz w:val="22"/>
        </w:rPr>
        <w:t>,</w:t>
      </w:r>
      <w:r w:rsidRPr="00521D3E">
        <w:rPr>
          <w:i/>
          <w:sz w:val="22"/>
        </w:rPr>
        <w:t xml:space="preserve"> many young</w:t>
      </w:r>
      <w:r>
        <w:rPr>
          <w:i/>
          <w:sz w:val="22"/>
        </w:rPr>
        <w:t xml:space="preserve"> people can afford to own”</w:t>
      </w:r>
    </w:p>
    <w:p w14:paraId="7B4B96DC" w14:textId="1BD016ED" w:rsidR="00394D4A" w:rsidRPr="00521D3E" w:rsidRDefault="00394D4A" w:rsidP="004E63A5">
      <w:pPr>
        <w:spacing w:line="240" w:lineRule="auto"/>
        <w:ind w:left="3600" w:right="1124" w:firstLine="720"/>
        <w:rPr>
          <w:sz w:val="22"/>
        </w:rPr>
      </w:pPr>
      <w:r>
        <w:rPr>
          <w:sz w:val="22"/>
        </w:rPr>
        <w:t xml:space="preserve">        </w:t>
      </w:r>
      <w:r>
        <w:rPr>
          <w:sz w:val="22"/>
        </w:rPr>
        <w:tab/>
      </w:r>
      <w:r w:rsidRPr="00521D3E">
        <w:rPr>
          <w:sz w:val="22"/>
        </w:rPr>
        <w:t>(Remy/</w:t>
      </w:r>
      <w:r>
        <w:rPr>
          <w:sz w:val="22"/>
        </w:rPr>
        <w:t xml:space="preserve">18 </w:t>
      </w:r>
      <w:r w:rsidRPr="00521D3E">
        <w:rPr>
          <w:sz w:val="22"/>
        </w:rPr>
        <w:t>Dec 2016/2pm)</w:t>
      </w:r>
    </w:p>
    <w:p w14:paraId="50B49D83" w14:textId="0502B37C" w:rsidR="00394D4A" w:rsidRPr="00521D3E" w:rsidRDefault="00394D4A" w:rsidP="004E63A5">
      <w:pPr>
        <w:spacing w:line="240" w:lineRule="auto"/>
        <w:ind w:left="720" w:right="1124"/>
        <w:rPr>
          <w:i/>
          <w:sz w:val="22"/>
        </w:rPr>
      </w:pPr>
      <w:r w:rsidRPr="00521D3E">
        <w:rPr>
          <w:i/>
          <w:sz w:val="22"/>
        </w:rPr>
        <w:t>“At this moment, my income is not enough to save for the housing deposit. It may take</w:t>
      </w:r>
      <w:r>
        <w:rPr>
          <w:i/>
          <w:sz w:val="22"/>
        </w:rPr>
        <w:t xml:space="preserve"> a</w:t>
      </w:r>
      <w:r w:rsidRPr="00521D3E">
        <w:rPr>
          <w:i/>
          <w:sz w:val="22"/>
        </w:rPr>
        <w:t xml:space="preserve"> lon</w:t>
      </w:r>
      <w:r>
        <w:rPr>
          <w:i/>
          <w:sz w:val="22"/>
        </w:rPr>
        <w:t>ger time for me to save for it”</w:t>
      </w:r>
    </w:p>
    <w:p w14:paraId="043E81DA" w14:textId="6D08482F" w:rsidR="00394D4A" w:rsidRDefault="00394D4A" w:rsidP="00E0051F">
      <w:pPr>
        <w:tabs>
          <w:tab w:val="left" w:pos="1080"/>
        </w:tabs>
        <w:spacing w:before="240"/>
        <w:ind w:left="1080" w:right="1124"/>
        <w:rPr>
          <w:sz w:val="22"/>
        </w:rPr>
      </w:pPr>
      <w:r w:rsidRPr="00521D3E">
        <w:rPr>
          <w:sz w:val="22"/>
        </w:rPr>
        <w:t xml:space="preserve">          </w:t>
      </w:r>
      <w:r w:rsidRPr="00521D3E">
        <w:rPr>
          <w:sz w:val="22"/>
        </w:rPr>
        <w:tab/>
      </w:r>
      <w:r w:rsidRPr="00521D3E">
        <w:rPr>
          <w:sz w:val="22"/>
        </w:rPr>
        <w:tab/>
      </w:r>
      <w:r w:rsidRPr="00521D3E">
        <w:rPr>
          <w:sz w:val="22"/>
        </w:rPr>
        <w:tab/>
      </w:r>
      <w:r w:rsidRPr="00521D3E">
        <w:rPr>
          <w:sz w:val="22"/>
        </w:rPr>
        <w:tab/>
      </w:r>
      <w:r w:rsidRPr="00521D3E">
        <w:rPr>
          <w:sz w:val="22"/>
        </w:rPr>
        <w:tab/>
        <w:t>(Myra/</w:t>
      </w:r>
      <w:r>
        <w:rPr>
          <w:sz w:val="22"/>
        </w:rPr>
        <w:t>18</w:t>
      </w:r>
      <w:r w:rsidRPr="00521D3E">
        <w:rPr>
          <w:sz w:val="22"/>
        </w:rPr>
        <w:t>Nov 2016/12pm)</w:t>
      </w:r>
    </w:p>
    <w:p w14:paraId="6107AB80" w14:textId="77777777" w:rsidR="00394D4A" w:rsidRPr="00C735E8" w:rsidRDefault="00394D4A" w:rsidP="004E63A5">
      <w:pPr>
        <w:spacing w:after="0"/>
        <w:ind w:firstLine="720"/>
        <w:rPr>
          <w:rFonts w:eastAsia="Calibri" w:cs="Times New Roman"/>
          <w:szCs w:val="24"/>
        </w:rPr>
      </w:pPr>
      <w:r>
        <w:rPr>
          <w:rFonts w:eastAsia="Calibri" w:cs="Times New Roman"/>
          <w:szCs w:val="24"/>
        </w:rPr>
        <w:t xml:space="preserve">As the findings show, </w:t>
      </w:r>
      <w:r w:rsidRPr="006267E1">
        <w:rPr>
          <w:rFonts w:eastAsia="Calibri" w:cs="Times New Roman"/>
          <w:szCs w:val="24"/>
        </w:rPr>
        <w:t xml:space="preserve">young people in Malaysia </w:t>
      </w:r>
      <w:r>
        <w:rPr>
          <w:rFonts w:eastAsia="Calibri" w:cs="Times New Roman"/>
          <w:szCs w:val="24"/>
        </w:rPr>
        <w:t xml:space="preserve">have </w:t>
      </w:r>
      <w:r w:rsidRPr="006267E1">
        <w:rPr>
          <w:rFonts w:eastAsia="Calibri" w:cs="Times New Roman"/>
          <w:szCs w:val="24"/>
        </w:rPr>
        <w:t>encou</w:t>
      </w:r>
      <w:r>
        <w:rPr>
          <w:rFonts w:eastAsia="Calibri" w:cs="Times New Roman"/>
          <w:szCs w:val="24"/>
        </w:rPr>
        <w:t xml:space="preserve">ntered difficulties to provide </w:t>
      </w:r>
      <w:r w:rsidRPr="006267E1">
        <w:rPr>
          <w:rFonts w:eastAsia="Calibri" w:cs="Times New Roman"/>
          <w:szCs w:val="24"/>
        </w:rPr>
        <w:t>the down-payment</w:t>
      </w:r>
      <w:r>
        <w:rPr>
          <w:rFonts w:eastAsia="Calibri" w:cs="Times New Roman"/>
          <w:szCs w:val="24"/>
        </w:rPr>
        <w:t xml:space="preserve"> due to the housing guidelines. Yip (2013) in her study amongst people in the younger generation in Hong Kong revealed the same. Young people, who were referred to in the post-eighties generation in Hong Kong, </w:t>
      </w:r>
      <w:r w:rsidRPr="006267E1">
        <w:rPr>
          <w:rFonts w:eastAsia="Calibri" w:cs="Times New Roman"/>
          <w:szCs w:val="24"/>
        </w:rPr>
        <w:t>viewed housing as beyond their capability</w:t>
      </w:r>
      <w:r>
        <w:rPr>
          <w:rFonts w:eastAsia="Calibri" w:cs="Times New Roman"/>
          <w:szCs w:val="24"/>
        </w:rPr>
        <w:t xml:space="preserve"> due to affordability matters, strict lending practices, and inadequate housing policies that benefited them. The effect of these structural challenges,</w:t>
      </w:r>
      <w:r w:rsidRPr="006267E1">
        <w:rPr>
          <w:rFonts w:eastAsia="Calibri" w:cs="Times New Roman"/>
          <w:szCs w:val="24"/>
        </w:rPr>
        <w:t xml:space="preserve"> hence</w:t>
      </w:r>
      <w:r>
        <w:rPr>
          <w:rFonts w:eastAsia="Calibri" w:cs="Times New Roman"/>
          <w:szCs w:val="24"/>
        </w:rPr>
        <w:t>,</w:t>
      </w:r>
      <w:r w:rsidRPr="006267E1">
        <w:rPr>
          <w:rFonts w:eastAsia="Calibri" w:cs="Times New Roman"/>
          <w:szCs w:val="24"/>
        </w:rPr>
        <w:t xml:space="preserve"> distort</w:t>
      </w:r>
      <w:r>
        <w:rPr>
          <w:rFonts w:eastAsia="Calibri" w:cs="Times New Roman"/>
          <w:szCs w:val="24"/>
        </w:rPr>
        <w:t>ed</w:t>
      </w:r>
      <w:r w:rsidRPr="006267E1">
        <w:rPr>
          <w:rFonts w:eastAsia="Calibri" w:cs="Times New Roman"/>
          <w:szCs w:val="24"/>
        </w:rPr>
        <w:t xml:space="preserve"> their housing aspiration</w:t>
      </w:r>
      <w:r>
        <w:rPr>
          <w:rFonts w:eastAsia="Calibri" w:cs="Times New Roman"/>
          <w:szCs w:val="24"/>
        </w:rPr>
        <w:t>s and</w:t>
      </w:r>
      <w:r w:rsidRPr="006267E1">
        <w:rPr>
          <w:rFonts w:eastAsia="Calibri" w:cs="Times New Roman"/>
          <w:szCs w:val="24"/>
        </w:rPr>
        <w:t xml:space="preserve"> opportunities.</w:t>
      </w:r>
      <w:r>
        <w:rPr>
          <w:rFonts w:eastAsia="Calibri" w:cs="Times New Roman"/>
          <w:szCs w:val="24"/>
        </w:rPr>
        <w:t xml:space="preserve"> Research studies by </w:t>
      </w:r>
      <w:proofErr w:type="spellStart"/>
      <w:r w:rsidRPr="00496538">
        <w:rPr>
          <w:rFonts w:eastAsia="Calibri" w:cs="Times New Roman"/>
          <w:szCs w:val="24"/>
        </w:rPr>
        <w:t>Chowdury</w:t>
      </w:r>
      <w:proofErr w:type="spellEnd"/>
      <w:r w:rsidRPr="00496538">
        <w:rPr>
          <w:rFonts w:eastAsia="Calibri" w:cs="Times New Roman"/>
          <w:szCs w:val="24"/>
        </w:rPr>
        <w:t xml:space="preserve"> (2013)</w:t>
      </w:r>
      <w:r>
        <w:rPr>
          <w:rFonts w:eastAsia="Calibri" w:cs="Times New Roman"/>
          <w:szCs w:val="24"/>
        </w:rPr>
        <w:t xml:space="preserve"> in Dhaka</w:t>
      </w:r>
      <w:r w:rsidRPr="00496538">
        <w:rPr>
          <w:rFonts w:eastAsia="Calibri" w:cs="Times New Roman"/>
          <w:szCs w:val="24"/>
        </w:rPr>
        <w:t xml:space="preserve"> and Mc Kee and </w:t>
      </w:r>
      <w:proofErr w:type="spellStart"/>
      <w:r w:rsidRPr="00496538">
        <w:rPr>
          <w:rFonts w:eastAsia="Calibri" w:cs="Times New Roman"/>
          <w:szCs w:val="24"/>
        </w:rPr>
        <w:t>Hoolachan</w:t>
      </w:r>
      <w:proofErr w:type="spellEnd"/>
      <w:r w:rsidRPr="00496538">
        <w:rPr>
          <w:rFonts w:eastAsia="Calibri" w:cs="Times New Roman"/>
          <w:szCs w:val="24"/>
        </w:rPr>
        <w:t xml:space="preserve"> (2015) </w:t>
      </w:r>
      <w:r>
        <w:rPr>
          <w:rFonts w:eastAsia="Calibri" w:cs="Times New Roman"/>
          <w:szCs w:val="24"/>
        </w:rPr>
        <w:t xml:space="preserve">in Scotland also discovered that the </w:t>
      </w:r>
      <w:r w:rsidRPr="00496538">
        <w:rPr>
          <w:rFonts w:eastAsia="Calibri" w:cs="Times New Roman"/>
          <w:szCs w:val="24"/>
        </w:rPr>
        <w:t xml:space="preserve">lack of appropriate and affordable housing stocks alongside </w:t>
      </w:r>
      <w:r>
        <w:rPr>
          <w:rFonts w:eastAsia="Calibri" w:cs="Times New Roman"/>
          <w:szCs w:val="24"/>
        </w:rPr>
        <w:t>the</w:t>
      </w:r>
      <w:r w:rsidRPr="00496538">
        <w:rPr>
          <w:rFonts w:eastAsia="Calibri" w:cs="Times New Roman"/>
          <w:szCs w:val="24"/>
        </w:rPr>
        <w:t xml:space="preserve"> lack of </w:t>
      </w:r>
      <w:r>
        <w:rPr>
          <w:rFonts w:eastAsia="Calibri" w:cs="Times New Roman"/>
          <w:szCs w:val="24"/>
        </w:rPr>
        <w:t xml:space="preserve">access to home financing and limited economic resources </w:t>
      </w:r>
      <w:r w:rsidRPr="00496538">
        <w:rPr>
          <w:rFonts w:eastAsia="Calibri" w:cs="Times New Roman"/>
          <w:szCs w:val="24"/>
        </w:rPr>
        <w:t>distort</w:t>
      </w:r>
      <w:r>
        <w:rPr>
          <w:rFonts w:eastAsia="Calibri" w:cs="Times New Roman"/>
          <w:szCs w:val="24"/>
        </w:rPr>
        <w:t>ed the</w:t>
      </w:r>
      <w:r w:rsidRPr="00496538">
        <w:rPr>
          <w:rFonts w:eastAsia="Calibri" w:cs="Times New Roman"/>
          <w:szCs w:val="24"/>
        </w:rPr>
        <w:t xml:space="preserve"> </w:t>
      </w:r>
      <w:r>
        <w:rPr>
          <w:rFonts w:eastAsia="Calibri" w:cs="Times New Roman"/>
          <w:szCs w:val="24"/>
        </w:rPr>
        <w:t>housing opportunities amongst the younger generation.</w:t>
      </w:r>
    </w:p>
    <w:p w14:paraId="335DC437" w14:textId="5E56002A" w:rsidR="00BA704C" w:rsidRDefault="00BA704C" w:rsidP="004E63A5">
      <w:pPr>
        <w:pStyle w:val="Heading3"/>
        <w:spacing w:before="0"/>
        <w:rPr>
          <w:lang w:val="en-US"/>
        </w:rPr>
      </w:pPr>
      <w:r w:rsidRPr="00CD4055">
        <w:rPr>
          <w:lang w:val="en-US"/>
        </w:rPr>
        <w:lastRenderedPageBreak/>
        <w:t>Housing challenges among young people</w:t>
      </w:r>
      <w:r>
        <w:rPr>
          <w:lang w:val="en-US"/>
        </w:rPr>
        <w:t xml:space="preserve"> – economic perspective</w:t>
      </w:r>
    </w:p>
    <w:p w14:paraId="24513F53" w14:textId="324E9268" w:rsidR="00BA704C" w:rsidRDefault="00AE0407" w:rsidP="00E0051F">
      <w:pPr>
        <w:spacing w:after="240"/>
        <w:rPr>
          <w:rFonts w:eastAsia="Calibri" w:cs="Times New Roman"/>
          <w:szCs w:val="24"/>
        </w:rPr>
      </w:pPr>
      <w:r w:rsidRPr="00C735E8">
        <w:rPr>
          <w:iCs/>
          <w:szCs w:val="24"/>
        </w:rPr>
        <w:t xml:space="preserve">Besides </w:t>
      </w:r>
      <w:r>
        <w:rPr>
          <w:iCs/>
          <w:szCs w:val="24"/>
        </w:rPr>
        <w:t xml:space="preserve">the </w:t>
      </w:r>
      <w:r w:rsidRPr="00C735E8">
        <w:rPr>
          <w:iCs/>
          <w:szCs w:val="24"/>
        </w:rPr>
        <w:t xml:space="preserve">structural challenges, the researcher asked the respondents about the challenges </w:t>
      </w:r>
      <w:r>
        <w:rPr>
          <w:iCs/>
          <w:szCs w:val="24"/>
        </w:rPr>
        <w:t xml:space="preserve">they confronted from economic/affordability aspects. The </w:t>
      </w:r>
      <w:r w:rsidRPr="00C735E8">
        <w:rPr>
          <w:iCs/>
          <w:szCs w:val="24"/>
        </w:rPr>
        <w:t>economics consist</w:t>
      </w:r>
      <w:r>
        <w:rPr>
          <w:iCs/>
          <w:szCs w:val="24"/>
        </w:rPr>
        <w:t>ed of</w:t>
      </w:r>
      <w:r w:rsidRPr="00C735E8">
        <w:rPr>
          <w:iCs/>
          <w:szCs w:val="24"/>
        </w:rPr>
        <w:t xml:space="preserve"> elements related to financial resources (income, saving</w:t>
      </w:r>
      <w:r>
        <w:rPr>
          <w:iCs/>
          <w:szCs w:val="24"/>
        </w:rPr>
        <w:t>s</w:t>
      </w:r>
      <w:r w:rsidRPr="00C735E8">
        <w:rPr>
          <w:iCs/>
          <w:szCs w:val="24"/>
        </w:rPr>
        <w:t>, cost of living, high housing price) and financing. In their pursuit to live independently, accessing adequate housing</w:t>
      </w:r>
      <w:r>
        <w:rPr>
          <w:iCs/>
          <w:szCs w:val="24"/>
        </w:rPr>
        <w:t>,</w:t>
      </w:r>
      <w:r w:rsidRPr="00C735E8">
        <w:rPr>
          <w:iCs/>
          <w:szCs w:val="24"/>
        </w:rPr>
        <w:t xml:space="preserve"> especially </w:t>
      </w:r>
      <w:r>
        <w:rPr>
          <w:iCs/>
          <w:szCs w:val="24"/>
        </w:rPr>
        <w:t>in regard to</w:t>
      </w:r>
      <w:r w:rsidRPr="00C735E8">
        <w:rPr>
          <w:iCs/>
          <w:szCs w:val="24"/>
        </w:rPr>
        <w:t xml:space="preserve"> homeownership seem</w:t>
      </w:r>
      <w:r>
        <w:rPr>
          <w:iCs/>
          <w:szCs w:val="24"/>
        </w:rPr>
        <w:t>ed</w:t>
      </w:r>
      <w:r w:rsidRPr="00C735E8">
        <w:rPr>
          <w:iCs/>
          <w:szCs w:val="24"/>
        </w:rPr>
        <w:t xml:space="preserve"> difficult for the first-time home buyers due to their economic conditions (Deng</w:t>
      </w:r>
      <w:r>
        <w:rPr>
          <w:iCs/>
          <w:szCs w:val="24"/>
        </w:rPr>
        <w:t>,</w:t>
      </w:r>
      <w:r w:rsidRPr="00C735E8">
        <w:rPr>
          <w:iCs/>
          <w:szCs w:val="24"/>
        </w:rPr>
        <w:t xml:space="preserve"> </w:t>
      </w:r>
      <w:r w:rsidR="00B56017">
        <w:rPr>
          <w:iCs/>
          <w:szCs w:val="24"/>
        </w:rPr>
        <w:t xml:space="preserve">Hoekstra &amp; </w:t>
      </w:r>
      <w:proofErr w:type="spellStart"/>
      <w:r w:rsidR="00B56017">
        <w:rPr>
          <w:iCs/>
          <w:szCs w:val="24"/>
        </w:rPr>
        <w:t>Elsinga</w:t>
      </w:r>
      <w:proofErr w:type="spellEnd"/>
      <w:r w:rsidRPr="00C735E8">
        <w:rPr>
          <w:iCs/>
          <w:szCs w:val="24"/>
        </w:rPr>
        <w:t>, 2016; Kennett</w:t>
      </w:r>
      <w:r>
        <w:rPr>
          <w:iCs/>
          <w:szCs w:val="24"/>
        </w:rPr>
        <w:t>,</w:t>
      </w:r>
      <w:r w:rsidRPr="00C735E8">
        <w:rPr>
          <w:iCs/>
          <w:szCs w:val="24"/>
        </w:rPr>
        <w:t xml:space="preserve"> </w:t>
      </w:r>
      <w:r w:rsidR="00784A06">
        <w:rPr>
          <w:iCs/>
          <w:szCs w:val="24"/>
        </w:rPr>
        <w:t xml:space="preserve">Forrest &amp; </w:t>
      </w:r>
      <w:proofErr w:type="spellStart"/>
      <w:r w:rsidR="00B92D12">
        <w:rPr>
          <w:iCs/>
          <w:szCs w:val="24"/>
        </w:rPr>
        <w:t>Marsh</w:t>
      </w:r>
      <w:r w:rsidR="00B92D12" w:rsidRPr="00C735E8">
        <w:rPr>
          <w:iCs/>
          <w:szCs w:val="24"/>
        </w:rPr>
        <w:t>e</w:t>
      </w:r>
      <w:proofErr w:type="spellEnd"/>
      <w:r w:rsidR="00B92D12">
        <w:rPr>
          <w:iCs/>
          <w:szCs w:val="24"/>
        </w:rPr>
        <w:t>,</w:t>
      </w:r>
      <w:r w:rsidRPr="00C735E8">
        <w:rPr>
          <w:iCs/>
          <w:szCs w:val="24"/>
        </w:rPr>
        <w:t xml:space="preserve"> 2013).</w:t>
      </w:r>
      <w:r w:rsidR="00D95633" w:rsidRPr="00D95633">
        <w:rPr>
          <w:rFonts w:eastAsia="Calibri" w:cs="Times New Roman"/>
          <w:szCs w:val="24"/>
        </w:rPr>
        <w:t xml:space="preserve"> </w:t>
      </w:r>
      <w:r w:rsidR="00D95633" w:rsidRPr="002C1C9A">
        <w:rPr>
          <w:rFonts w:eastAsia="Calibri" w:cs="Times New Roman"/>
          <w:szCs w:val="24"/>
        </w:rPr>
        <w:t xml:space="preserve">To know the challenges faced by </w:t>
      </w:r>
      <w:r w:rsidR="00D95633">
        <w:rPr>
          <w:rFonts w:eastAsia="Calibri" w:cs="Times New Roman"/>
          <w:szCs w:val="24"/>
        </w:rPr>
        <w:t xml:space="preserve">the </w:t>
      </w:r>
      <w:r w:rsidR="00D95633" w:rsidRPr="002C1C9A">
        <w:rPr>
          <w:rFonts w:eastAsia="Calibri" w:cs="Times New Roman"/>
          <w:szCs w:val="24"/>
        </w:rPr>
        <w:t xml:space="preserve">young people related to </w:t>
      </w:r>
      <w:r w:rsidR="00D95633">
        <w:rPr>
          <w:rFonts w:eastAsia="Calibri" w:cs="Times New Roman"/>
          <w:szCs w:val="24"/>
        </w:rPr>
        <w:t>the economic</w:t>
      </w:r>
      <w:r w:rsidR="00D95633" w:rsidRPr="002C1C9A">
        <w:rPr>
          <w:rFonts w:eastAsia="Calibri" w:cs="Times New Roman"/>
          <w:szCs w:val="24"/>
        </w:rPr>
        <w:t xml:space="preserve"> aspects, </w:t>
      </w:r>
      <w:r w:rsidR="00D95633">
        <w:rPr>
          <w:rFonts w:eastAsia="Calibri" w:cs="Times New Roman"/>
          <w:szCs w:val="24"/>
        </w:rPr>
        <w:t>six questions were asked of the respondents</w:t>
      </w:r>
      <w:r w:rsidR="00D95633" w:rsidRPr="002C1C9A">
        <w:rPr>
          <w:rFonts w:eastAsia="Calibri" w:cs="Times New Roman"/>
          <w:szCs w:val="24"/>
        </w:rPr>
        <w:t xml:space="preserve"> </w:t>
      </w:r>
      <w:r w:rsidR="00D95633">
        <w:rPr>
          <w:rFonts w:eastAsia="Calibri" w:cs="Times New Roman"/>
          <w:szCs w:val="24"/>
        </w:rPr>
        <w:t xml:space="preserve">as to </w:t>
      </w:r>
      <w:r w:rsidR="00D95633" w:rsidRPr="002C1C9A">
        <w:rPr>
          <w:rFonts w:eastAsia="Calibri" w:cs="Times New Roman"/>
          <w:szCs w:val="24"/>
        </w:rPr>
        <w:t>whether th</w:t>
      </w:r>
      <w:r w:rsidR="00D95633">
        <w:rPr>
          <w:rFonts w:eastAsia="Calibri" w:cs="Times New Roman"/>
          <w:szCs w:val="24"/>
        </w:rPr>
        <w:t>ey faced challenges in terms of:</w:t>
      </w:r>
      <w:r w:rsidR="00D95633" w:rsidRPr="002C1C9A">
        <w:rPr>
          <w:rFonts w:eastAsia="Calibri" w:cs="Times New Roman"/>
          <w:szCs w:val="24"/>
        </w:rPr>
        <w:t xml:space="preserve"> 1)</w:t>
      </w:r>
      <w:r w:rsidR="00D95633">
        <w:rPr>
          <w:rFonts w:eastAsia="Calibri" w:cs="Times New Roman"/>
          <w:szCs w:val="24"/>
        </w:rPr>
        <w:t xml:space="preserve"> cost of living, 2) savings to pay for the housing deposits, 3) eligibility for loan financing, 4) housing price, 5) cost of living, 6) and income. </w:t>
      </w:r>
    </w:p>
    <w:p w14:paraId="18F24C17" w14:textId="69069895" w:rsidR="00E62982" w:rsidRPr="00E62982" w:rsidRDefault="00E62982" w:rsidP="00E0051F">
      <w:pPr>
        <w:pStyle w:val="Caption"/>
        <w:spacing w:line="360" w:lineRule="auto"/>
        <w:jc w:val="center"/>
        <w:rPr>
          <w:rFonts w:eastAsia="Calibri" w:cs="Times New Roman"/>
          <w:i w:val="0"/>
          <w:color w:val="auto"/>
          <w:sz w:val="24"/>
          <w:szCs w:val="24"/>
        </w:rPr>
      </w:pPr>
      <w:r w:rsidRPr="00343B8A">
        <w:rPr>
          <w:i w:val="0"/>
          <w:color w:val="auto"/>
          <w:sz w:val="24"/>
          <w:szCs w:val="24"/>
        </w:rPr>
        <w:t xml:space="preserve">Table </w:t>
      </w:r>
      <w:r>
        <w:rPr>
          <w:i w:val="0"/>
          <w:color w:val="auto"/>
          <w:sz w:val="24"/>
          <w:szCs w:val="24"/>
        </w:rPr>
        <w:t>3</w:t>
      </w:r>
      <w:r w:rsidRPr="00343B8A">
        <w:rPr>
          <w:i w:val="0"/>
          <w:color w:val="auto"/>
          <w:sz w:val="24"/>
          <w:szCs w:val="24"/>
        </w:rPr>
        <w:t xml:space="preserve">: Descriptive and RII Analysis for </w:t>
      </w:r>
      <w:r>
        <w:rPr>
          <w:i w:val="0"/>
          <w:color w:val="auto"/>
          <w:sz w:val="24"/>
          <w:szCs w:val="24"/>
        </w:rPr>
        <w:t>the Economic Challenges Faced by t</w:t>
      </w:r>
      <w:r w:rsidRPr="00343B8A">
        <w:rPr>
          <w:i w:val="0"/>
          <w:color w:val="auto"/>
          <w:sz w:val="24"/>
          <w:szCs w:val="24"/>
        </w:rPr>
        <w:t xml:space="preserve">he Respondents  </w:t>
      </w:r>
    </w:p>
    <w:tbl>
      <w:tblPr>
        <w:tblStyle w:val="TableGrid1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637"/>
        <w:gridCol w:w="743"/>
        <w:gridCol w:w="743"/>
        <w:gridCol w:w="637"/>
        <w:gridCol w:w="743"/>
        <w:gridCol w:w="743"/>
        <w:gridCol w:w="743"/>
        <w:gridCol w:w="748"/>
        <w:gridCol w:w="600"/>
        <w:gridCol w:w="709"/>
      </w:tblGrid>
      <w:tr w:rsidR="00E62982" w:rsidRPr="005F1135" w14:paraId="054D1DAD"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A58D9E"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Indicator</w:t>
            </w:r>
          </w:p>
        </w:tc>
        <w:tc>
          <w:tcPr>
            <w:tcW w:w="353" w:type="pct"/>
            <w:tcBorders>
              <w:top w:val="single" w:sz="4" w:space="0" w:color="auto"/>
              <w:left w:val="single" w:sz="4" w:space="0" w:color="auto"/>
              <w:bottom w:val="single" w:sz="4" w:space="0" w:color="auto"/>
            </w:tcBorders>
            <w:shd w:val="clear" w:color="auto" w:fill="B4C6E7" w:themeFill="accent1" w:themeFillTint="66"/>
            <w:vAlign w:val="center"/>
          </w:tcPr>
          <w:p w14:paraId="0936B35A"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1</w:t>
            </w:r>
          </w:p>
        </w:tc>
        <w:tc>
          <w:tcPr>
            <w:tcW w:w="412" w:type="pct"/>
            <w:tcBorders>
              <w:top w:val="single" w:sz="4" w:space="0" w:color="auto"/>
              <w:bottom w:val="single" w:sz="4" w:space="0" w:color="auto"/>
            </w:tcBorders>
            <w:shd w:val="clear" w:color="auto" w:fill="B4C6E7" w:themeFill="accent1" w:themeFillTint="66"/>
            <w:vAlign w:val="center"/>
          </w:tcPr>
          <w:p w14:paraId="128B4C14"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2</w:t>
            </w:r>
          </w:p>
        </w:tc>
        <w:tc>
          <w:tcPr>
            <w:tcW w:w="412" w:type="pct"/>
            <w:tcBorders>
              <w:top w:val="single" w:sz="4" w:space="0" w:color="auto"/>
              <w:bottom w:val="single" w:sz="4" w:space="0" w:color="auto"/>
            </w:tcBorders>
            <w:shd w:val="clear" w:color="auto" w:fill="B4C6E7" w:themeFill="accent1" w:themeFillTint="66"/>
            <w:vAlign w:val="center"/>
          </w:tcPr>
          <w:p w14:paraId="04F26094"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3</w:t>
            </w:r>
          </w:p>
        </w:tc>
        <w:tc>
          <w:tcPr>
            <w:tcW w:w="353" w:type="pct"/>
            <w:tcBorders>
              <w:top w:val="single" w:sz="4" w:space="0" w:color="auto"/>
              <w:bottom w:val="single" w:sz="4" w:space="0" w:color="auto"/>
            </w:tcBorders>
            <w:shd w:val="clear" w:color="auto" w:fill="B4C6E7" w:themeFill="accent1" w:themeFillTint="66"/>
            <w:vAlign w:val="center"/>
          </w:tcPr>
          <w:p w14:paraId="616FC1EA"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4</w:t>
            </w:r>
          </w:p>
        </w:tc>
        <w:tc>
          <w:tcPr>
            <w:tcW w:w="412" w:type="pct"/>
            <w:tcBorders>
              <w:top w:val="single" w:sz="4" w:space="0" w:color="auto"/>
              <w:bottom w:val="single" w:sz="4" w:space="0" w:color="auto"/>
            </w:tcBorders>
            <w:shd w:val="clear" w:color="auto" w:fill="B4C6E7" w:themeFill="accent1" w:themeFillTint="66"/>
            <w:vAlign w:val="center"/>
          </w:tcPr>
          <w:p w14:paraId="176F1809"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5</w:t>
            </w:r>
          </w:p>
        </w:tc>
        <w:tc>
          <w:tcPr>
            <w:tcW w:w="412" w:type="pct"/>
            <w:tcBorders>
              <w:top w:val="single" w:sz="4" w:space="0" w:color="auto"/>
              <w:bottom w:val="single" w:sz="4" w:space="0" w:color="auto"/>
            </w:tcBorders>
            <w:shd w:val="clear" w:color="auto" w:fill="B4C6E7" w:themeFill="accent1" w:themeFillTint="66"/>
            <w:vAlign w:val="center"/>
          </w:tcPr>
          <w:p w14:paraId="1BF9C592"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6</w:t>
            </w:r>
          </w:p>
        </w:tc>
        <w:tc>
          <w:tcPr>
            <w:tcW w:w="412" w:type="pct"/>
            <w:tcBorders>
              <w:top w:val="single" w:sz="4" w:space="0" w:color="auto"/>
              <w:bottom w:val="single" w:sz="4" w:space="0" w:color="auto"/>
            </w:tcBorders>
            <w:shd w:val="clear" w:color="auto" w:fill="B4C6E7" w:themeFill="accent1" w:themeFillTint="66"/>
            <w:vAlign w:val="center"/>
          </w:tcPr>
          <w:p w14:paraId="581D43A3"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7</w:t>
            </w:r>
          </w:p>
        </w:tc>
        <w:tc>
          <w:tcPr>
            <w:tcW w:w="415" w:type="pct"/>
            <w:tcBorders>
              <w:top w:val="single" w:sz="4" w:space="0" w:color="auto"/>
              <w:bottom w:val="single" w:sz="4" w:space="0" w:color="auto"/>
            </w:tcBorders>
            <w:shd w:val="clear" w:color="auto" w:fill="B4C6E7" w:themeFill="accent1" w:themeFillTint="66"/>
            <w:vAlign w:val="center"/>
          </w:tcPr>
          <w:p w14:paraId="75B896A2"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Mean</w:t>
            </w:r>
          </w:p>
        </w:tc>
        <w:tc>
          <w:tcPr>
            <w:tcW w:w="333" w:type="pct"/>
            <w:tcBorders>
              <w:top w:val="single" w:sz="4" w:space="0" w:color="auto"/>
              <w:bottom w:val="single" w:sz="4" w:space="0" w:color="auto"/>
            </w:tcBorders>
            <w:shd w:val="clear" w:color="auto" w:fill="B4C6E7" w:themeFill="accent1" w:themeFillTint="66"/>
            <w:vAlign w:val="center"/>
          </w:tcPr>
          <w:p w14:paraId="4577BD90"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SD</w:t>
            </w:r>
          </w:p>
        </w:tc>
        <w:tc>
          <w:tcPr>
            <w:tcW w:w="393" w:type="pct"/>
            <w:tcBorders>
              <w:top w:val="single" w:sz="4" w:space="0" w:color="auto"/>
              <w:bottom w:val="single" w:sz="4" w:space="0" w:color="auto"/>
              <w:right w:val="single" w:sz="4" w:space="0" w:color="auto"/>
            </w:tcBorders>
            <w:shd w:val="clear" w:color="auto" w:fill="B4C6E7" w:themeFill="accent1" w:themeFillTint="66"/>
            <w:vAlign w:val="center"/>
          </w:tcPr>
          <w:p w14:paraId="1DB008C5" w14:textId="77777777" w:rsidR="00E62982" w:rsidRPr="0011336D" w:rsidRDefault="00E62982" w:rsidP="004E63A5">
            <w:pPr>
              <w:spacing w:line="240" w:lineRule="auto"/>
              <w:jc w:val="center"/>
              <w:rPr>
                <w:rFonts w:eastAsia="Calibri" w:cs="Times New Roman"/>
                <w:b/>
                <w:sz w:val="20"/>
                <w:szCs w:val="20"/>
              </w:rPr>
            </w:pPr>
            <w:r w:rsidRPr="0011336D">
              <w:rPr>
                <w:rFonts w:eastAsia="Calibri" w:cs="Times New Roman"/>
                <w:b/>
                <w:sz w:val="20"/>
                <w:szCs w:val="20"/>
              </w:rPr>
              <w:t>RII</w:t>
            </w:r>
          </w:p>
        </w:tc>
      </w:tr>
      <w:tr w:rsidR="00E62982" w:rsidRPr="005F1135" w14:paraId="6C9D006E" w14:textId="77777777" w:rsidTr="00487C4E">
        <w:trPr>
          <w:trHeight w:val="224"/>
          <w:jc w:val="center"/>
        </w:trPr>
        <w:tc>
          <w:tcPr>
            <w:tcW w:w="5000" w:type="pct"/>
            <w:gridSpan w:val="11"/>
            <w:tcBorders>
              <w:top w:val="single" w:sz="4" w:space="0" w:color="auto"/>
              <w:left w:val="single" w:sz="4" w:space="0" w:color="auto"/>
              <w:right w:val="single" w:sz="4" w:space="0" w:color="auto"/>
            </w:tcBorders>
            <w:shd w:val="clear" w:color="auto" w:fill="B4C6E7" w:themeFill="accent1" w:themeFillTint="66"/>
            <w:vAlign w:val="center"/>
          </w:tcPr>
          <w:p w14:paraId="7A781A7C" w14:textId="77777777" w:rsidR="00E62982" w:rsidRPr="005F1135" w:rsidRDefault="00E62982" w:rsidP="004E63A5">
            <w:pPr>
              <w:spacing w:line="240" w:lineRule="auto"/>
              <w:jc w:val="center"/>
              <w:rPr>
                <w:rFonts w:eastAsia="Calibri" w:cs="Times New Roman"/>
                <w:b/>
                <w:sz w:val="20"/>
                <w:szCs w:val="20"/>
              </w:rPr>
            </w:pPr>
            <w:r w:rsidRPr="005F1135">
              <w:rPr>
                <w:rFonts w:eastAsia="Calibri" w:cs="Times New Roman"/>
                <w:b/>
                <w:sz w:val="20"/>
                <w:szCs w:val="20"/>
              </w:rPr>
              <w:t>Economic Challenges</w:t>
            </w:r>
          </w:p>
        </w:tc>
      </w:tr>
      <w:tr w:rsidR="00E62982" w:rsidRPr="005F1135" w14:paraId="7AC07F00" w14:textId="77777777" w:rsidTr="00B94E80">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265FB0" w14:textId="77777777" w:rsidR="00E62982" w:rsidRPr="005F1135" w:rsidRDefault="00E62982" w:rsidP="004E63A5">
            <w:pPr>
              <w:spacing w:line="240" w:lineRule="auto"/>
              <w:jc w:val="left"/>
              <w:rPr>
                <w:rFonts w:eastAsia="Calibri" w:cs="Times New Roman"/>
                <w:sz w:val="20"/>
                <w:szCs w:val="20"/>
              </w:rPr>
            </w:pPr>
            <w:r w:rsidRPr="005F1135">
              <w:rPr>
                <w:rFonts w:eastAsia="Calibri" w:cs="Times New Roman"/>
                <w:sz w:val="20"/>
                <w:szCs w:val="20"/>
              </w:rPr>
              <w:t xml:space="preserve">High </w:t>
            </w:r>
            <w:r>
              <w:rPr>
                <w:rFonts w:eastAsia="Calibri" w:cs="Times New Roman"/>
                <w:sz w:val="20"/>
                <w:szCs w:val="20"/>
              </w:rPr>
              <w:t>cost of living</w:t>
            </w:r>
          </w:p>
        </w:tc>
        <w:tc>
          <w:tcPr>
            <w:tcW w:w="353" w:type="pct"/>
            <w:tcBorders>
              <w:top w:val="single" w:sz="4" w:space="0" w:color="auto"/>
              <w:left w:val="single" w:sz="4" w:space="0" w:color="auto"/>
              <w:bottom w:val="single" w:sz="4" w:space="0" w:color="auto"/>
            </w:tcBorders>
            <w:shd w:val="clear" w:color="auto" w:fill="D0CECE" w:themeFill="background2" w:themeFillShade="E6"/>
            <w:vAlign w:val="center"/>
          </w:tcPr>
          <w:p w14:paraId="0131DA2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w:t>
            </w:r>
          </w:p>
          <w:p w14:paraId="708ABD4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shd w:val="clear" w:color="auto" w:fill="D0CECE" w:themeFill="background2" w:themeFillShade="E6"/>
            <w:vAlign w:val="center"/>
          </w:tcPr>
          <w:p w14:paraId="158BD54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w:t>
            </w:r>
          </w:p>
          <w:p w14:paraId="30813E96"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shd w:val="clear" w:color="auto" w:fill="D0CECE" w:themeFill="background2" w:themeFillShade="E6"/>
            <w:vAlign w:val="center"/>
          </w:tcPr>
          <w:p w14:paraId="694AD2C3"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w:t>
            </w:r>
          </w:p>
          <w:p w14:paraId="76846D9C"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(4.1)</w:t>
            </w:r>
          </w:p>
        </w:tc>
        <w:tc>
          <w:tcPr>
            <w:tcW w:w="353" w:type="pct"/>
            <w:tcBorders>
              <w:top w:val="single" w:sz="4" w:space="0" w:color="auto"/>
              <w:bottom w:val="single" w:sz="4" w:space="0" w:color="auto"/>
            </w:tcBorders>
            <w:shd w:val="clear" w:color="auto" w:fill="D0CECE" w:themeFill="background2" w:themeFillShade="E6"/>
            <w:vAlign w:val="center"/>
          </w:tcPr>
          <w:p w14:paraId="516DF3A8"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w:t>
            </w:r>
          </w:p>
          <w:p w14:paraId="022942C9"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shd w:val="clear" w:color="auto" w:fill="D0CECE" w:themeFill="background2" w:themeFillShade="E6"/>
            <w:vAlign w:val="center"/>
          </w:tcPr>
          <w:p w14:paraId="03F3C8D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35</w:t>
            </w:r>
          </w:p>
          <w:p w14:paraId="3A6C1C26"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(36.1)</w:t>
            </w:r>
          </w:p>
        </w:tc>
        <w:tc>
          <w:tcPr>
            <w:tcW w:w="412" w:type="pct"/>
            <w:tcBorders>
              <w:top w:val="single" w:sz="4" w:space="0" w:color="auto"/>
              <w:bottom w:val="single" w:sz="4" w:space="0" w:color="auto"/>
            </w:tcBorders>
            <w:shd w:val="clear" w:color="auto" w:fill="D0CECE" w:themeFill="background2" w:themeFillShade="E6"/>
            <w:vAlign w:val="center"/>
          </w:tcPr>
          <w:p w14:paraId="6080B1F0"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42</w:t>
            </w:r>
          </w:p>
          <w:p w14:paraId="4437346E"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(43.3)</w:t>
            </w:r>
          </w:p>
        </w:tc>
        <w:tc>
          <w:tcPr>
            <w:tcW w:w="412" w:type="pct"/>
            <w:tcBorders>
              <w:top w:val="single" w:sz="4" w:space="0" w:color="auto"/>
              <w:bottom w:val="single" w:sz="4" w:space="0" w:color="auto"/>
            </w:tcBorders>
            <w:shd w:val="clear" w:color="auto" w:fill="D0CECE" w:themeFill="background2" w:themeFillShade="E6"/>
            <w:vAlign w:val="center"/>
          </w:tcPr>
          <w:p w14:paraId="14E33D8D"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13</w:t>
            </w:r>
          </w:p>
          <w:p w14:paraId="6CBCF8AD"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(13.4)</w:t>
            </w:r>
          </w:p>
        </w:tc>
        <w:tc>
          <w:tcPr>
            <w:tcW w:w="415" w:type="pct"/>
            <w:tcBorders>
              <w:top w:val="single" w:sz="4" w:space="0" w:color="auto"/>
              <w:bottom w:val="single" w:sz="4" w:space="0" w:color="auto"/>
            </w:tcBorders>
            <w:shd w:val="clear" w:color="auto" w:fill="D0CECE" w:themeFill="background2" w:themeFillShade="E6"/>
            <w:vAlign w:val="center"/>
          </w:tcPr>
          <w:p w14:paraId="289CF65E"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5.54</w:t>
            </w:r>
          </w:p>
        </w:tc>
        <w:tc>
          <w:tcPr>
            <w:tcW w:w="333" w:type="pct"/>
            <w:tcBorders>
              <w:top w:val="single" w:sz="4" w:space="0" w:color="auto"/>
              <w:bottom w:val="single" w:sz="4" w:space="0" w:color="auto"/>
            </w:tcBorders>
            <w:shd w:val="clear" w:color="auto" w:fill="D0CECE" w:themeFill="background2" w:themeFillShade="E6"/>
            <w:vAlign w:val="center"/>
          </w:tcPr>
          <w:p w14:paraId="28A42ED2"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1.06</w:t>
            </w:r>
          </w:p>
        </w:tc>
        <w:tc>
          <w:tcPr>
            <w:tcW w:w="393" w:type="pct"/>
            <w:tcBorders>
              <w:top w:val="single" w:sz="4" w:space="0" w:color="auto"/>
              <w:bottom w:val="single" w:sz="4" w:space="0" w:color="auto"/>
              <w:right w:val="single" w:sz="4" w:space="0" w:color="auto"/>
            </w:tcBorders>
            <w:shd w:val="clear" w:color="auto" w:fill="D0CECE" w:themeFill="background2" w:themeFillShade="E6"/>
            <w:vAlign w:val="center"/>
          </w:tcPr>
          <w:p w14:paraId="3DA4EA62" w14:textId="77777777" w:rsidR="00E62982" w:rsidRPr="005F1135" w:rsidRDefault="00E62982" w:rsidP="004E63A5">
            <w:pPr>
              <w:spacing w:line="240" w:lineRule="auto"/>
              <w:jc w:val="center"/>
              <w:rPr>
                <w:rFonts w:eastAsia="Calibri" w:cs="Times New Roman"/>
                <w:color w:val="000000"/>
                <w:sz w:val="20"/>
                <w:szCs w:val="20"/>
              </w:rPr>
            </w:pPr>
            <w:r>
              <w:rPr>
                <w:rFonts w:eastAsia="Calibri" w:cs="Times New Roman"/>
                <w:color w:val="000000"/>
                <w:sz w:val="20"/>
                <w:szCs w:val="20"/>
              </w:rPr>
              <w:t>79.1</w:t>
            </w:r>
          </w:p>
        </w:tc>
      </w:tr>
      <w:tr w:rsidR="00E62982" w:rsidRPr="005F1135" w14:paraId="140F4B9F"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45D51531" w14:textId="77777777" w:rsidR="00E62982" w:rsidRPr="005F1135" w:rsidRDefault="00E62982" w:rsidP="004E63A5">
            <w:pPr>
              <w:spacing w:line="240" w:lineRule="auto"/>
              <w:jc w:val="left"/>
              <w:rPr>
                <w:rFonts w:eastAsia="Calibri" w:cs="Times New Roman"/>
                <w:sz w:val="20"/>
                <w:szCs w:val="20"/>
              </w:rPr>
            </w:pPr>
            <w:r w:rsidRPr="005F1135">
              <w:rPr>
                <w:rFonts w:eastAsia="Calibri" w:cs="Times New Roman"/>
                <w:sz w:val="20"/>
                <w:szCs w:val="20"/>
              </w:rPr>
              <w:t>No savings to pay for the housing deposits</w:t>
            </w:r>
          </w:p>
        </w:tc>
        <w:tc>
          <w:tcPr>
            <w:tcW w:w="353" w:type="pct"/>
            <w:tcBorders>
              <w:top w:val="single" w:sz="4" w:space="0" w:color="auto"/>
              <w:left w:val="single" w:sz="4" w:space="0" w:color="auto"/>
              <w:bottom w:val="single" w:sz="4" w:space="0" w:color="auto"/>
            </w:tcBorders>
            <w:vAlign w:val="center"/>
          </w:tcPr>
          <w:p w14:paraId="1A9ACBC0"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3F873B26"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5</w:t>
            </w:r>
          </w:p>
          <w:p w14:paraId="41F4F5B3"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(5.2)</w:t>
            </w:r>
          </w:p>
        </w:tc>
        <w:tc>
          <w:tcPr>
            <w:tcW w:w="412" w:type="pct"/>
            <w:tcBorders>
              <w:top w:val="single" w:sz="4" w:space="0" w:color="auto"/>
              <w:bottom w:val="single" w:sz="4" w:space="0" w:color="auto"/>
            </w:tcBorders>
            <w:vAlign w:val="center"/>
          </w:tcPr>
          <w:p w14:paraId="6D82A625"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w:t>
            </w:r>
          </w:p>
          <w:p w14:paraId="482CDCA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(10.3)</w:t>
            </w:r>
          </w:p>
        </w:tc>
        <w:tc>
          <w:tcPr>
            <w:tcW w:w="353" w:type="pct"/>
            <w:tcBorders>
              <w:top w:val="single" w:sz="4" w:space="0" w:color="auto"/>
              <w:bottom w:val="single" w:sz="4" w:space="0" w:color="auto"/>
            </w:tcBorders>
            <w:vAlign w:val="center"/>
          </w:tcPr>
          <w:p w14:paraId="7C195B83"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w:t>
            </w:r>
          </w:p>
          <w:p w14:paraId="73D8ABEB"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(2.1)</w:t>
            </w:r>
          </w:p>
        </w:tc>
        <w:tc>
          <w:tcPr>
            <w:tcW w:w="412" w:type="pct"/>
            <w:tcBorders>
              <w:top w:val="single" w:sz="4" w:space="0" w:color="auto"/>
              <w:bottom w:val="single" w:sz="4" w:space="0" w:color="auto"/>
            </w:tcBorders>
            <w:vAlign w:val="center"/>
          </w:tcPr>
          <w:p w14:paraId="5A4855F9"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38</w:t>
            </w:r>
          </w:p>
          <w:p w14:paraId="24171830"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(39.2)</w:t>
            </w:r>
          </w:p>
        </w:tc>
        <w:tc>
          <w:tcPr>
            <w:tcW w:w="412" w:type="pct"/>
            <w:tcBorders>
              <w:top w:val="single" w:sz="4" w:space="0" w:color="auto"/>
              <w:bottom w:val="single" w:sz="4" w:space="0" w:color="auto"/>
            </w:tcBorders>
            <w:vAlign w:val="center"/>
          </w:tcPr>
          <w:p w14:paraId="25079E0A"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30</w:t>
            </w:r>
          </w:p>
          <w:p w14:paraId="3046ACBE"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(30.9)</w:t>
            </w:r>
          </w:p>
        </w:tc>
        <w:tc>
          <w:tcPr>
            <w:tcW w:w="412" w:type="pct"/>
            <w:tcBorders>
              <w:top w:val="single" w:sz="4" w:space="0" w:color="auto"/>
              <w:bottom w:val="single" w:sz="4" w:space="0" w:color="auto"/>
            </w:tcBorders>
            <w:vAlign w:val="center"/>
          </w:tcPr>
          <w:p w14:paraId="225DB6F6"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12</w:t>
            </w:r>
          </w:p>
          <w:p w14:paraId="0040CF3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(12.4)</w:t>
            </w:r>
          </w:p>
        </w:tc>
        <w:tc>
          <w:tcPr>
            <w:tcW w:w="415" w:type="pct"/>
            <w:tcBorders>
              <w:top w:val="single" w:sz="4" w:space="0" w:color="auto"/>
              <w:bottom w:val="single" w:sz="4" w:space="0" w:color="auto"/>
            </w:tcBorders>
            <w:vAlign w:val="center"/>
          </w:tcPr>
          <w:p w14:paraId="515A2E45"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5.18</w:t>
            </w:r>
          </w:p>
        </w:tc>
        <w:tc>
          <w:tcPr>
            <w:tcW w:w="333" w:type="pct"/>
            <w:tcBorders>
              <w:top w:val="single" w:sz="4" w:space="0" w:color="auto"/>
              <w:bottom w:val="single" w:sz="4" w:space="0" w:color="auto"/>
            </w:tcBorders>
            <w:vAlign w:val="center"/>
          </w:tcPr>
          <w:p w14:paraId="0BADFD3D"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1.30</w:t>
            </w:r>
          </w:p>
        </w:tc>
        <w:tc>
          <w:tcPr>
            <w:tcW w:w="393" w:type="pct"/>
            <w:tcBorders>
              <w:top w:val="single" w:sz="4" w:space="0" w:color="auto"/>
              <w:bottom w:val="single" w:sz="4" w:space="0" w:color="auto"/>
              <w:right w:val="single" w:sz="4" w:space="0" w:color="auto"/>
            </w:tcBorders>
            <w:vAlign w:val="center"/>
          </w:tcPr>
          <w:p w14:paraId="2CD8CBCD" w14:textId="77777777" w:rsidR="00E62982" w:rsidRPr="005F1135" w:rsidRDefault="00E62982" w:rsidP="004E63A5">
            <w:pPr>
              <w:spacing w:line="240" w:lineRule="auto"/>
              <w:jc w:val="center"/>
              <w:rPr>
                <w:rFonts w:eastAsia="Calibri" w:cs="Times New Roman"/>
                <w:color w:val="000000"/>
                <w:sz w:val="20"/>
                <w:szCs w:val="20"/>
              </w:rPr>
            </w:pPr>
            <w:r>
              <w:rPr>
                <w:rFonts w:eastAsia="Calibri" w:cs="Times New Roman"/>
                <w:color w:val="000000"/>
                <w:sz w:val="20"/>
                <w:szCs w:val="20"/>
              </w:rPr>
              <w:t>73.9</w:t>
            </w:r>
          </w:p>
        </w:tc>
      </w:tr>
      <w:tr w:rsidR="00E62982" w:rsidRPr="005F1135" w14:paraId="4E27D40B"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29D4C591" w14:textId="77777777" w:rsidR="00E62982" w:rsidRPr="005F1135" w:rsidRDefault="00E62982" w:rsidP="004E63A5">
            <w:pPr>
              <w:spacing w:line="240" w:lineRule="auto"/>
              <w:jc w:val="left"/>
              <w:rPr>
                <w:rFonts w:eastAsia="Calibri" w:cs="Times New Roman"/>
                <w:sz w:val="20"/>
                <w:szCs w:val="20"/>
              </w:rPr>
            </w:pPr>
            <w:r w:rsidRPr="005F1135">
              <w:rPr>
                <w:rFonts w:eastAsia="Calibri" w:cs="Times New Roman"/>
                <w:sz w:val="20"/>
                <w:szCs w:val="20"/>
              </w:rPr>
              <w:t>Not eligible for the loan financing</w:t>
            </w:r>
          </w:p>
        </w:tc>
        <w:tc>
          <w:tcPr>
            <w:tcW w:w="353" w:type="pct"/>
            <w:tcBorders>
              <w:top w:val="single" w:sz="4" w:space="0" w:color="auto"/>
              <w:left w:val="single" w:sz="4" w:space="0" w:color="auto"/>
              <w:bottom w:val="single" w:sz="4" w:space="0" w:color="auto"/>
            </w:tcBorders>
            <w:vAlign w:val="center"/>
          </w:tcPr>
          <w:p w14:paraId="62AC04FE"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7C4882C0"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15</w:t>
            </w:r>
          </w:p>
          <w:p w14:paraId="04CCF0F8"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(15.5)</w:t>
            </w:r>
          </w:p>
        </w:tc>
        <w:tc>
          <w:tcPr>
            <w:tcW w:w="412" w:type="pct"/>
            <w:tcBorders>
              <w:top w:val="single" w:sz="4" w:space="0" w:color="auto"/>
              <w:bottom w:val="single" w:sz="4" w:space="0" w:color="auto"/>
            </w:tcBorders>
            <w:vAlign w:val="center"/>
          </w:tcPr>
          <w:p w14:paraId="45451F41"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26</w:t>
            </w:r>
          </w:p>
          <w:p w14:paraId="07CCCD32"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(26.8)</w:t>
            </w:r>
          </w:p>
        </w:tc>
        <w:tc>
          <w:tcPr>
            <w:tcW w:w="353" w:type="pct"/>
            <w:tcBorders>
              <w:top w:val="single" w:sz="4" w:space="0" w:color="auto"/>
              <w:bottom w:val="single" w:sz="4" w:space="0" w:color="auto"/>
            </w:tcBorders>
            <w:vAlign w:val="center"/>
          </w:tcPr>
          <w:p w14:paraId="56E89CB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w:t>
            </w:r>
          </w:p>
          <w:p w14:paraId="34D07F4E"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(4.1)</w:t>
            </w:r>
          </w:p>
        </w:tc>
        <w:tc>
          <w:tcPr>
            <w:tcW w:w="412" w:type="pct"/>
            <w:tcBorders>
              <w:top w:val="single" w:sz="4" w:space="0" w:color="auto"/>
              <w:bottom w:val="single" w:sz="4" w:space="0" w:color="auto"/>
            </w:tcBorders>
            <w:vAlign w:val="center"/>
          </w:tcPr>
          <w:p w14:paraId="3DB0ABFA"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19</w:t>
            </w:r>
          </w:p>
          <w:p w14:paraId="3DC26B1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(19.6)</w:t>
            </w:r>
          </w:p>
        </w:tc>
        <w:tc>
          <w:tcPr>
            <w:tcW w:w="412" w:type="pct"/>
            <w:tcBorders>
              <w:top w:val="single" w:sz="4" w:space="0" w:color="auto"/>
              <w:bottom w:val="single" w:sz="4" w:space="0" w:color="auto"/>
            </w:tcBorders>
            <w:vAlign w:val="center"/>
          </w:tcPr>
          <w:p w14:paraId="66931FF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22</w:t>
            </w:r>
          </w:p>
          <w:p w14:paraId="353DC23C"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(22.7)</w:t>
            </w:r>
          </w:p>
        </w:tc>
        <w:tc>
          <w:tcPr>
            <w:tcW w:w="412" w:type="pct"/>
            <w:tcBorders>
              <w:top w:val="single" w:sz="4" w:space="0" w:color="auto"/>
              <w:bottom w:val="single" w:sz="4" w:space="0" w:color="auto"/>
            </w:tcBorders>
            <w:vAlign w:val="center"/>
          </w:tcPr>
          <w:p w14:paraId="1D515589"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11</w:t>
            </w:r>
          </w:p>
          <w:p w14:paraId="544B2529"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(11.3)</w:t>
            </w:r>
          </w:p>
        </w:tc>
        <w:tc>
          <w:tcPr>
            <w:tcW w:w="415" w:type="pct"/>
            <w:tcBorders>
              <w:top w:val="single" w:sz="4" w:space="0" w:color="auto"/>
              <w:bottom w:val="single" w:sz="4" w:space="0" w:color="auto"/>
            </w:tcBorders>
            <w:vAlign w:val="center"/>
          </w:tcPr>
          <w:p w14:paraId="61DD7F2B"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4.41</w:t>
            </w:r>
          </w:p>
        </w:tc>
        <w:tc>
          <w:tcPr>
            <w:tcW w:w="333" w:type="pct"/>
            <w:tcBorders>
              <w:top w:val="single" w:sz="4" w:space="0" w:color="auto"/>
              <w:bottom w:val="single" w:sz="4" w:space="0" w:color="auto"/>
            </w:tcBorders>
            <w:vAlign w:val="center"/>
          </w:tcPr>
          <w:p w14:paraId="09647655"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1.69</w:t>
            </w:r>
          </w:p>
        </w:tc>
        <w:tc>
          <w:tcPr>
            <w:tcW w:w="393" w:type="pct"/>
            <w:tcBorders>
              <w:top w:val="single" w:sz="4" w:space="0" w:color="auto"/>
              <w:bottom w:val="single" w:sz="4" w:space="0" w:color="auto"/>
              <w:right w:val="single" w:sz="4" w:space="0" w:color="auto"/>
            </w:tcBorders>
            <w:vAlign w:val="center"/>
          </w:tcPr>
          <w:p w14:paraId="6E1C48F5" w14:textId="77777777" w:rsidR="00E62982" w:rsidRPr="005F1135" w:rsidRDefault="00E62982" w:rsidP="004E63A5">
            <w:pPr>
              <w:spacing w:line="240" w:lineRule="auto"/>
              <w:jc w:val="center"/>
              <w:rPr>
                <w:rFonts w:eastAsia="Calibri" w:cs="Times New Roman"/>
                <w:color w:val="000000"/>
                <w:sz w:val="20"/>
                <w:szCs w:val="20"/>
              </w:rPr>
            </w:pPr>
            <w:r>
              <w:rPr>
                <w:rFonts w:eastAsia="Calibri" w:cs="Times New Roman"/>
                <w:color w:val="000000"/>
                <w:sz w:val="20"/>
                <w:szCs w:val="20"/>
              </w:rPr>
              <w:t>63.0</w:t>
            </w:r>
          </w:p>
        </w:tc>
      </w:tr>
      <w:tr w:rsidR="00E62982" w:rsidRPr="005F1135" w14:paraId="27EE8B35" w14:textId="77777777" w:rsidTr="00B94E80">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FE7958" w14:textId="77777777" w:rsidR="00E62982" w:rsidRPr="005F1135" w:rsidRDefault="00E62982" w:rsidP="004E63A5">
            <w:pPr>
              <w:spacing w:line="240" w:lineRule="auto"/>
              <w:jc w:val="left"/>
              <w:rPr>
                <w:rFonts w:eastAsia="Calibri" w:cs="Times New Roman"/>
                <w:sz w:val="20"/>
                <w:szCs w:val="20"/>
              </w:rPr>
            </w:pPr>
            <w:r>
              <w:rPr>
                <w:rFonts w:eastAsia="Calibri" w:cs="Times New Roman"/>
                <w:sz w:val="20"/>
                <w:szCs w:val="20"/>
              </w:rPr>
              <w:t>High housing price</w:t>
            </w:r>
          </w:p>
        </w:tc>
        <w:tc>
          <w:tcPr>
            <w:tcW w:w="353" w:type="pct"/>
            <w:tcBorders>
              <w:top w:val="single" w:sz="4" w:space="0" w:color="auto"/>
              <w:left w:val="single" w:sz="4" w:space="0" w:color="auto"/>
              <w:bottom w:val="single" w:sz="4" w:space="0" w:color="auto"/>
            </w:tcBorders>
            <w:shd w:val="clear" w:color="auto" w:fill="D0CECE" w:themeFill="background2" w:themeFillShade="E6"/>
            <w:vAlign w:val="center"/>
          </w:tcPr>
          <w:p w14:paraId="05820C86"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6927253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1DCB2265"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w:t>
            </w:r>
          </w:p>
          <w:p w14:paraId="14F342C1"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353" w:type="pct"/>
            <w:tcBorders>
              <w:top w:val="single" w:sz="4" w:space="0" w:color="auto"/>
              <w:bottom w:val="single" w:sz="4" w:space="0" w:color="auto"/>
            </w:tcBorders>
            <w:shd w:val="clear" w:color="auto" w:fill="D0CECE" w:themeFill="background2" w:themeFillShade="E6"/>
            <w:vAlign w:val="center"/>
          </w:tcPr>
          <w:p w14:paraId="53549338"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w:t>
            </w:r>
          </w:p>
          <w:p w14:paraId="6EA0B28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(3.1)</w:t>
            </w:r>
          </w:p>
        </w:tc>
        <w:tc>
          <w:tcPr>
            <w:tcW w:w="412" w:type="pct"/>
            <w:tcBorders>
              <w:top w:val="single" w:sz="4" w:space="0" w:color="auto"/>
              <w:bottom w:val="single" w:sz="4" w:space="0" w:color="auto"/>
            </w:tcBorders>
            <w:shd w:val="clear" w:color="auto" w:fill="D0CECE" w:themeFill="background2" w:themeFillShade="E6"/>
            <w:vAlign w:val="center"/>
          </w:tcPr>
          <w:p w14:paraId="25ED76BA"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37</w:t>
            </w:r>
          </w:p>
          <w:p w14:paraId="21F09251"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(38.1)</w:t>
            </w:r>
          </w:p>
        </w:tc>
        <w:tc>
          <w:tcPr>
            <w:tcW w:w="412" w:type="pct"/>
            <w:tcBorders>
              <w:top w:val="single" w:sz="4" w:space="0" w:color="auto"/>
              <w:bottom w:val="single" w:sz="4" w:space="0" w:color="auto"/>
            </w:tcBorders>
            <w:shd w:val="clear" w:color="auto" w:fill="D0CECE" w:themeFill="background2" w:themeFillShade="E6"/>
            <w:vAlign w:val="center"/>
          </w:tcPr>
          <w:p w14:paraId="2529F19D"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46</w:t>
            </w:r>
          </w:p>
          <w:p w14:paraId="5526D2C0"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(47.4)</w:t>
            </w:r>
          </w:p>
        </w:tc>
        <w:tc>
          <w:tcPr>
            <w:tcW w:w="412" w:type="pct"/>
            <w:tcBorders>
              <w:top w:val="single" w:sz="4" w:space="0" w:color="auto"/>
              <w:bottom w:val="single" w:sz="4" w:space="0" w:color="auto"/>
            </w:tcBorders>
            <w:shd w:val="clear" w:color="auto" w:fill="D0CECE" w:themeFill="background2" w:themeFillShade="E6"/>
            <w:vAlign w:val="center"/>
          </w:tcPr>
          <w:p w14:paraId="4D6FEADD"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w:t>
            </w:r>
          </w:p>
          <w:p w14:paraId="5991F55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(10.3)</w:t>
            </w:r>
          </w:p>
        </w:tc>
        <w:tc>
          <w:tcPr>
            <w:tcW w:w="415" w:type="pct"/>
            <w:tcBorders>
              <w:top w:val="single" w:sz="4" w:space="0" w:color="auto"/>
              <w:bottom w:val="single" w:sz="4" w:space="0" w:color="auto"/>
            </w:tcBorders>
            <w:shd w:val="clear" w:color="auto" w:fill="D0CECE" w:themeFill="background2" w:themeFillShade="E6"/>
            <w:vAlign w:val="center"/>
          </w:tcPr>
          <w:p w14:paraId="4F7D7793"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5.63</w:t>
            </w:r>
          </w:p>
        </w:tc>
        <w:tc>
          <w:tcPr>
            <w:tcW w:w="333" w:type="pct"/>
            <w:tcBorders>
              <w:top w:val="single" w:sz="4" w:space="0" w:color="auto"/>
              <w:bottom w:val="single" w:sz="4" w:space="0" w:color="auto"/>
            </w:tcBorders>
            <w:shd w:val="clear" w:color="auto" w:fill="D0CECE" w:themeFill="background2" w:themeFillShade="E6"/>
            <w:vAlign w:val="center"/>
          </w:tcPr>
          <w:p w14:paraId="1B611700"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0.75</w:t>
            </w:r>
          </w:p>
        </w:tc>
        <w:tc>
          <w:tcPr>
            <w:tcW w:w="393" w:type="pct"/>
            <w:tcBorders>
              <w:top w:val="single" w:sz="4" w:space="0" w:color="auto"/>
              <w:bottom w:val="single" w:sz="4" w:space="0" w:color="auto"/>
              <w:right w:val="single" w:sz="4" w:space="0" w:color="auto"/>
            </w:tcBorders>
            <w:shd w:val="clear" w:color="auto" w:fill="D0CECE" w:themeFill="background2" w:themeFillShade="E6"/>
            <w:vAlign w:val="center"/>
          </w:tcPr>
          <w:p w14:paraId="76BC113F" w14:textId="77777777" w:rsidR="00E62982" w:rsidRPr="005F1135" w:rsidRDefault="00E62982" w:rsidP="004E63A5">
            <w:pPr>
              <w:spacing w:line="240" w:lineRule="auto"/>
              <w:jc w:val="center"/>
              <w:rPr>
                <w:rFonts w:eastAsia="Calibri" w:cs="Times New Roman"/>
                <w:color w:val="000000"/>
                <w:sz w:val="20"/>
                <w:szCs w:val="20"/>
              </w:rPr>
            </w:pPr>
            <w:r>
              <w:rPr>
                <w:rFonts w:eastAsia="Calibri" w:cs="Times New Roman"/>
                <w:color w:val="000000"/>
                <w:sz w:val="20"/>
                <w:szCs w:val="20"/>
              </w:rPr>
              <w:t>80.4</w:t>
            </w:r>
          </w:p>
        </w:tc>
      </w:tr>
      <w:tr w:rsidR="00E62982" w:rsidRPr="005F1135" w14:paraId="33C768E9" w14:textId="77777777" w:rsidTr="00487C4E">
        <w:trPr>
          <w:trHeight w:val="224"/>
          <w:jc w:val="center"/>
        </w:trPr>
        <w:tc>
          <w:tcPr>
            <w:tcW w:w="1093" w:type="pct"/>
            <w:tcBorders>
              <w:top w:val="single" w:sz="4" w:space="0" w:color="auto"/>
              <w:left w:val="single" w:sz="4" w:space="0" w:color="auto"/>
              <w:bottom w:val="single" w:sz="4" w:space="0" w:color="auto"/>
              <w:right w:val="single" w:sz="4" w:space="0" w:color="auto"/>
            </w:tcBorders>
            <w:vAlign w:val="center"/>
          </w:tcPr>
          <w:p w14:paraId="055F4AB2" w14:textId="77777777" w:rsidR="00E62982" w:rsidRPr="005F1135" w:rsidRDefault="00E62982" w:rsidP="004E63A5">
            <w:pPr>
              <w:spacing w:line="240" w:lineRule="auto"/>
              <w:jc w:val="left"/>
              <w:rPr>
                <w:rFonts w:eastAsia="Calibri" w:cs="Times New Roman"/>
                <w:sz w:val="20"/>
                <w:szCs w:val="20"/>
              </w:rPr>
            </w:pPr>
            <w:r>
              <w:rPr>
                <w:rFonts w:eastAsia="Calibri" w:cs="Times New Roman"/>
                <w:sz w:val="20"/>
                <w:szCs w:val="20"/>
              </w:rPr>
              <w:t>High monthly loan instalment</w:t>
            </w:r>
          </w:p>
        </w:tc>
        <w:tc>
          <w:tcPr>
            <w:tcW w:w="353" w:type="pct"/>
            <w:tcBorders>
              <w:top w:val="single" w:sz="4" w:space="0" w:color="auto"/>
              <w:left w:val="single" w:sz="4" w:space="0" w:color="auto"/>
              <w:bottom w:val="single" w:sz="4" w:space="0" w:color="auto"/>
            </w:tcBorders>
            <w:vAlign w:val="center"/>
          </w:tcPr>
          <w:p w14:paraId="33C14B5B"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vAlign w:val="center"/>
          </w:tcPr>
          <w:p w14:paraId="1974C0D8"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w:t>
            </w:r>
          </w:p>
          <w:p w14:paraId="2F16EFB1"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(2.1)</w:t>
            </w:r>
          </w:p>
        </w:tc>
        <w:tc>
          <w:tcPr>
            <w:tcW w:w="412" w:type="pct"/>
            <w:tcBorders>
              <w:top w:val="single" w:sz="4" w:space="0" w:color="auto"/>
              <w:bottom w:val="single" w:sz="4" w:space="0" w:color="auto"/>
            </w:tcBorders>
            <w:vAlign w:val="center"/>
          </w:tcPr>
          <w:p w14:paraId="1DF62F3F"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12</w:t>
            </w:r>
          </w:p>
          <w:p w14:paraId="087F447B"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(12.4)</w:t>
            </w:r>
          </w:p>
        </w:tc>
        <w:tc>
          <w:tcPr>
            <w:tcW w:w="353" w:type="pct"/>
            <w:tcBorders>
              <w:top w:val="single" w:sz="4" w:space="0" w:color="auto"/>
              <w:bottom w:val="single" w:sz="4" w:space="0" w:color="auto"/>
            </w:tcBorders>
            <w:vAlign w:val="center"/>
          </w:tcPr>
          <w:p w14:paraId="1572C5D4"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w:t>
            </w:r>
          </w:p>
          <w:p w14:paraId="6F1C10C2"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(1.0)</w:t>
            </w:r>
          </w:p>
        </w:tc>
        <w:tc>
          <w:tcPr>
            <w:tcW w:w="412" w:type="pct"/>
            <w:tcBorders>
              <w:top w:val="single" w:sz="4" w:space="0" w:color="auto"/>
              <w:bottom w:val="single" w:sz="4" w:space="0" w:color="auto"/>
            </w:tcBorders>
            <w:vAlign w:val="center"/>
          </w:tcPr>
          <w:p w14:paraId="22BBCBE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38</w:t>
            </w:r>
          </w:p>
          <w:p w14:paraId="198A264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(39.2)</w:t>
            </w:r>
          </w:p>
        </w:tc>
        <w:tc>
          <w:tcPr>
            <w:tcW w:w="412" w:type="pct"/>
            <w:tcBorders>
              <w:top w:val="single" w:sz="4" w:space="0" w:color="auto"/>
              <w:bottom w:val="single" w:sz="4" w:space="0" w:color="auto"/>
            </w:tcBorders>
            <w:vAlign w:val="center"/>
          </w:tcPr>
          <w:p w14:paraId="63EB1E99"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33</w:t>
            </w:r>
          </w:p>
          <w:p w14:paraId="4E01C53F"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(34.0)</w:t>
            </w:r>
          </w:p>
        </w:tc>
        <w:tc>
          <w:tcPr>
            <w:tcW w:w="412" w:type="pct"/>
            <w:tcBorders>
              <w:top w:val="single" w:sz="4" w:space="0" w:color="auto"/>
              <w:bottom w:val="single" w:sz="4" w:space="0" w:color="auto"/>
            </w:tcBorders>
            <w:vAlign w:val="center"/>
          </w:tcPr>
          <w:p w14:paraId="34F8F0C8"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11</w:t>
            </w:r>
          </w:p>
          <w:p w14:paraId="4D39FBE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(11.3)</w:t>
            </w:r>
          </w:p>
        </w:tc>
        <w:tc>
          <w:tcPr>
            <w:tcW w:w="415" w:type="pct"/>
            <w:tcBorders>
              <w:top w:val="single" w:sz="4" w:space="0" w:color="auto"/>
              <w:bottom w:val="single" w:sz="4" w:space="0" w:color="auto"/>
            </w:tcBorders>
            <w:vAlign w:val="center"/>
          </w:tcPr>
          <w:p w14:paraId="44819F30"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5.25</w:t>
            </w:r>
          </w:p>
        </w:tc>
        <w:tc>
          <w:tcPr>
            <w:tcW w:w="333" w:type="pct"/>
            <w:tcBorders>
              <w:top w:val="single" w:sz="4" w:space="0" w:color="auto"/>
              <w:bottom w:val="single" w:sz="4" w:space="0" w:color="auto"/>
            </w:tcBorders>
            <w:vAlign w:val="center"/>
          </w:tcPr>
          <w:p w14:paraId="3BC4DF36"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1.20</w:t>
            </w:r>
          </w:p>
        </w:tc>
        <w:tc>
          <w:tcPr>
            <w:tcW w:w="393" w:type="pct"/>
            <w:tcBorders>
              <w:top w:val="single" w:sz="4" w:space="0" w:color="auto"/>
              <w:bottom w:val="single" w:sz="4" w:space="0" w:color="auto"/>
              <w:right w:val="single" w:sz="4" w:space="0" w:color="auto"/>
            </w:tcBorders>
            <w:vAlign w:val="center"/>
          </w:tcPr>
          <w:p w14:paraId="0AB3EE3E" w14:textId="77777777" w:rsidR="00E62982" w:rsidRPr="005F1135" w:rsidRDefault="00E62982" w:rsidP="004E63A5">
            <w:pPr>
              <w:spacing w:line="240" w:lineRule="auto"/>
              <w:jc w:val="center"/>
              <w:rPr>
                <w:rFonts w:eastAsia="Calibri" w:cs="Times New Roman"/>
                <w:color w:val="000000"/>
                <w:sz w:val="20"/>
                <w:szCs w:val="20"/>
              </w:rPr>
            </w:pPr>
            <w:r>
              <w:rPr>
                <w:rFonts w:eastAsia="Calibri" w:cs="Times New Roman"/>
                <w:color w:val="000000"/>
                <w:sz w:val="20"/>
                <w:szCs w:val="20"/>
              </w:rPr>
              <w:t>75.0</w:t>
            </w:r>
          </w:p>
        </w:tc>
      </w:tr>
      <w:tr w:rsidR="00E62982" w:rsidRPr="005F1135" w14:paraId="0203C99E" w14:textId="77777777" w:rsidTr="00B94E80">
        <w:trPr>
          <w:trHeight w:val="224"/>
          <w:jc w:val="center"/>
        </w:trPr>
        <w:tc>
          <w:tcPr>
            <w:tcW w:w="10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1088D1" w14:textId="77777777" w:rsidR="00E62982" w:rsidRPr="005F1135" w:rsidRDefault="00E62982" w:rsidP="004E63A5">
            <w:pPr>
              <w:spacing w:line="240" w:lineRule="auto"/>
              <w:jc w:val="left"/>
              <w:rPr>
                <w:rFonts w:eastAsia="Calibri" w:cs="Times New Roman"/>
                <w:sz w:val="20"/>
                <w:szCs w:val="20"/>
              </w:rPr>
            </w:pPr>
            <w:r>
              <w:rPr>
                <w:rFonts w:eastAsia="Calibri" w:cs="Times New Roman"/>
                <w:sz w:val="20"/>
                <w:szCs w:val="20"/>
              </w:rPr>
              <w:t>Insufficient income</w:t>
            </w:r>
          </w:p>
        </w:tc>
        <w:tc>
          <w:tcPr>
            <w:tcW w:w="353" w:type="pct"/>
            <w:tcBorders>
              <w:top w:val="single" w:sz="4" w:space="0" w:color="auto"/>
              <w:left w:val="single" w:sz="4" w:space="0" w:color="auto"/>
              <w:bottom w:val="single" w:sz="4" w:space="0" w:color="auto"/>
            </w:tcBorders>
            <w:shd w:val="clear" w:color="auto" w:fill="D0CECE" w:themeFill="background2" w:themeFillShade="E6"/>
            <w:vAlign w:val="center"/>
          </w:tcPr>
          <w:p w14:paraId="095D690F"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5F94219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50D98016"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353" w:type="pct"/>
            <w:tcBorders>
              <w:top w:val="single" w:sz="4" w:space="0" w:color="auto"/>
              <w:bottom w:val="single" w:sz="4" w:space="0" w:color="auto"/>
            </w:tcBorders>
            <w:shd w:val="clear" w:color="auto" w:fill="D0CECE" w:themeFill="background2" w:themeFillShade="E6"/>
            <w:vAlign w:val="center"/>
          </w:tcPr>
          <w:p w14:paraId="4313AADA"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w:t>
            </w:r>
          </w:p>
        </w:tc>
        <w:tc>
          <w:tcPr>
            <w:tcW w:w="412" w:type="pct"/>
            <w:tcBorders>
              <w:top w:val="single" w:sz="4" w:space="0" w:color="auto"/>
              <w:bottom w:val="single" w:sz="4" w:space="0" w:color="auto"/>
            </w:tcBorders>
            <w:shd w:val="clear" w:color="auto" w:fill="D0CECE" w:themeFill="background2" w:themeFillShade="E6"/>
            <w:vAlign w:val="center"/>
          </w:tcPr>
          <w:p w14:paraId="648E4562"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30</w:t>
            </w:r>
          </w:p>
          <w:p w14:paraId="4108B8C9"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(30.9)</w:t>
            </w:r>
          </w:p>
        </w:tc>
        <w:tc>
          <w:tcPr>
            <w:tcW w:w="412" w:type="pct"/>
            <w:tcBorders>
              <w:top w:val="single" w:sz="4" w:space="0" w:color="auto"/>
              <w:bottom w:val="single" w:sz="4" w:space="0" w:color="auto"/>
            </w:tcBorders>
            <w:shd w:val="clear" w:color="auto" w:fill="D0CECE" w:themeFill="background2" w:themeFillShade="E6"/>
            <w:vAlign w:val="center"/>
          </w:tcPr>
          <w:p w14:paraId="06A5DE59"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45</w:t>
            </w:r>
          </w:p>
          <w:p w14:paraId="244FC251"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(46.4)</w:t>
            </w:r>
          </w:p>
        </w:tc>
        <w:tc>
          <w:tcPr>
            <w:tcW w:w="412" w:type="pct"/>
            <w:tcBorders>
              <w:top w:val="single" w:sz="4" w:space="0" w:color="auto"/>
              <w:bottom w:val="single" w:sz="4" w:space="0" w:color="auto"/>
            </w:tcBorders>
            <w:shd w:val="clear" w:color="auto" w:fill="D0CECE" w:themeFill="background2" w:themeFillShade="E6"/>
            <w:vAlign w:val="center"/>
          </w:tcPr>
          <w:p w14:paraId="22DE69EE"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22</w:t>
            </w:r>
          </w:p>
          <w:p w14:paraId="49929465"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(22.7)</w:t>
            </w:r>
          </w:p>
        </w:tc>
        <w:tc>
          <w:tcPr>
            <w:tcW w:w="415" w:type="pct"/>
            <w:tcBorders>
              <w:bottom w:val="single" w:sz="4" w:space="0" w:color="auto"/>
            </w:tcBorders>
            <w:shd w:val="clear" w:color="auto" w:fill="D0CECE" w:themeFill="background2" w:themeFillShade="E6"/>
            <w:vAlign w:val="center"/>
          </w:tcPr>
          <w:p w14:paraId="1753C4BB"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5.92</w:t>
            </w:r>
          </w:p>
        </w:tc>
        <w:tc>
          <w:tcPr>
            <w:tcW w:w="333" w:type="pct"/>
            <w:tcBorders>
              <w:bottom w:val="single" w:sz="4" w:space="0" w:color="auto"/>
            </w:tcBorders>
            <w:shd w:val="clear" w:color="auto" w:fill="D0CECE" w:themeFill="background2" w:themeFillShade="E6"/>
            <w:vAlign w:val="center"/>
          </w:tcPr>
          <w:p w14:paraId="03AEEBD7" w14:textId="77777777" w:rsidR="00E62982" w:rsidRPr="005F1135" w:rsidRDefault="00E62982" w:rsidP="004E63A5">
            <w:pPr>
              <w:spacing w:line="240" w:lineRule="auto"/>
              <w:jc w:val="center"/>
              <w:rPr>
                <w:rFonts w:eastAsia="Calibri" w:cs="Times New Roman"/>
                <w:sz w:val="20"/>
                <w:szCs w:val="20"/>
              </w:rPr>
            </w:pPr>
            <w:r w:rsidRPr="005F1135">
              <w:rPr>
                <w:rFonts w:eastAsia="Calibri" w:cs="Times New Roman"/>
                <w:sz w:val="20"/>
                <w:szCs w:val="20"/>
              </w:rPr>
              <w:t>0.73</w:t>
            </w:r>
          </w:p>
        </w:tc>
        <w:tc>
          <w:tcPr>
            <w:tcW w:w="393" w:type="pct"/>
            <w:tcBorders>
              <w:bottom w:val="single" w:sz="4" w:space="0" w:color="auto"/>
              <w:right w:val="single" w:sz="4" w:space="0" w:color="auto"/>
            </w:tcBorders>
            <w:shd w:val="clear" w:color="auto" w:fill="D0CECE" w:themeFill="background2" w:themeFillShade="E6"/>
            <w:vAlign w:val="center"/>
          </w:tcPr>
          <w:p w14:paraId="689A4988" w14:textId="77777777" w:rsidR="00E62982" w:rsidRPr="005F1135" w:rsidRDefault="00E62982" w:rsidP="004E63A5">
            <w:pPr>
              <w:spacing w:line="240" w:lineRule="auto"/>
              <w:jc w:val="center"/>
              <w:rPr>
                <w:rFonts w:eastAsia="Calibri" w:cs="Times New Roman"/>
                <w:color w:val="000000"/>
                <w:sz w:val="20"/>
                <w:szCs w:val="20"/>
              </w:rPr>
            </w:pPr>
            <w:r>
              <w:rPr>
                <w:rFonts w:eastAsia="Calibri" w:cs="Times New Roman"/>
                <w:color w:val="000000"/>
                <w:sz w:val="20"/>
                <w:szCs w:val="20"/>
              </w:rPr>
              <w:t>84.5</w:t>
            </w:r>
          </w:p>
        </w:tc>
      </w:tr>
    </w:tbl>
    <w:p w14:paraId="17193C8E" w14:textId="77777777" w:rsidR="00E62982" w:rsidRDefault="00E62982" w:rsidP="00E0051F">
      <w:pPr>
        <w:spacing w:after="0"/>
        <w:rPr>
          <w:rFonts w:eastAsia="Calibri" w:cs="Times New Roman"/>
          <w:sz w:val="20"/>
          <w:szCs w:val="20"/>
          <w:lang w:val="en-US"/>
        </w:rPr>
      </w:pPr>
      <w:r w:rsidRPr="00375854">
        <w:rPr>
          <w:rFonts w:eastAsia="Calibri" w:cs="Times New Roman"/>
          <w:sz w:val="20"/>
          <w:szCs w:val="20"/>
          <w:lang w:val="en-US"/>
        </w:rPr>
        <w:t>Note: SD = Standard deviation; 1 = Strongly Disagree, 2 = Disagree, 3 = Somewhat Disagree; 4 = Neither Agree or Disagree; 5 = Somewhat Agree; 6 = Agree; 7 = Strongly Agree; RII = Relative Importance Index (%).</w:t>
      </w:r>
    </w:p>
    <w:p w14:paraId="3CFC37E1" w14:textId="77777777" w:rsidR="00AD2C53" w:rsidRPr="00B415D2" w:rsidRDefault="00AD2C53" w:rsidP="004E63A5">
      <w:pPr>
        <w:spacing w:after="0"/>
        <w:rPr>
          <w:rFonts w:eastAsia="Calibri" w:cs="Times New Roman"/>
          <w:szCs w:val="24"/>
        </w:rPr>
      </w:pPr>
    </w:p>
    <w:p w14:paraId="74E73587" w14:textId="2A9A61BE" w:rsidR="00FC76F5" w:rsidRDefault="00FC76F5" w:rsidP="004E63A5">
      <w:pPr>
        <w:spacing w:after="0"/>
        <w:ind w:firstLine="720"/>
        <w:rPr>
          <w:rFonts w:eastAsia="Calibri" w:cs="Times New Roman"/>
          <w:szCs w:val="24"/>
        </w:rPr>
      </w:pPr>
      <w:r>
        <w:rPr>
          <w:rFonts w:eastAsia="Calibri" w:cs="Times New Roman"/>
          <w:szCs w:val="24"/>
        </w:rPr>
        <w:t xml:space="preserve">The findings as shown in Table 3 highlighted that </w:t>
      </w:r>
      <w:r w:rsidRPr="00623C82">
        <w:rPr>
          <w:rFonts w:eastAsia="Calibri" w:cs="Times New Roman"/>
          <w:szCs w:val="24"/>
        </w:rPr>
        <w:t>among</w:t>
      </w:r>
      <w:r>
        <w:rPr>
          <w:rFonts w:eastAsia="Calibri" w:cs="Times New Roman"/>
          <w:szCs w:val="24"/>
        </w:rPr>
        <w:t>st</w:t>
      </w:r>
      <w:r w:rsidRPr="00623C82">
        <w:rPr>
          <w:rFonts w:eastAsia="Calibri" w:cs="Times New Roman"/>
          <w:szCs w:val="24"/>
        </w:rPr>
        <w:t xml:space="preserve"> the biggest challenges faced by </w:t>
      </w:r>
      <w:r>
        <w:rPr>
          <w:rFonts w:eastAsia="Calibri" w:cs="Times New Roman"/>
          <w:szCs w:val="24"/>
        </w:rPr>
        <w:t xml:space="preserve">the </w:t>
      </w:r>
      <w:r w:rsidRPr="00623C82">
        <w:rPr>
          <w:rFonts w:eastAsia="Calibri" w:cs="Times New Roman"/>
          <w:szCs w:val="24"/>
        </w:rPr>
        <w:t xml:space="preserve">young people </w:t>
      </w:r>
      <w:r>
        <w:rPr>
          <w:rFonts w:eastAsia="Calibri" w:cs="Times New Roman"/>
          <w:szCs w:val="24"/>
        </w:rPr>
        <w:t>were</w:t>
      </w:r>
      <w:r w:rsidRPr="00623C82">
        <w:rPr>
          <w:rFonts w:eastAsia="Calibri" w:cs="Times New Roman"/>
          <w:szCs w:val="24"/>
        </w:rPr>
        <w:t xml:space="preserve"> insufficient income (RII = 84.5%), high housing price (RII = 80.4%)</w:t>
      </w:r>
      <w:r>
        <w:rPr>
          <w:rFonts w:eastAsia="Calibri" w:cs="Times New Roman"/>
          <w:szCs w:val="24"/>
        </w:rPr>
        <w:t>,</w:t>
      </w:r>
      <w:r w:rsidRPr="00623C82">
        <w:rPr>
          <w:rFonts w:eastAsia="Calibri" w:cs="Times New Roman"/>
          <w:szCs w:val="24"/>
        </w:rPr>
        <w:t xml:space="preserve"> and the high cost of living (RII = 79.1%). Since the housing price offered in the market </w:t>
      </w:r>
      <w:r>
        <w:rPr>
          <w:rFonts w:eastAsia="Calibri" w:cs="Times New Roman"/>
          <w:szCs w:val="24"/>
        </w:rPr>
        <w:t>was</w:t>
      </w:r>
      <w:r w:rsidRPr="00623C82">
        <w:rPr>
          <w:rFonts w:eastAsia="Calibri" w:cs="Times New Roman"/>
          <w:szCs w:val="24"/>
        </w:rPr>
        <w:t xml:space="preserve"> high, the loan financing they made required them to pay high monthly loan instalment</w:t>
      </w:r>
      <w:r>
        <w:rPr>
          <w:rFonts w:eastAsia="Calibri" w:cs="Times New Roman"/>
          <w:szCs w:val="24"/>
        </w:rPr>
        <w:t>s</w:t>
      </w:r>
      <w:r w:rsidRPr="00623C82">
        <w:rPr>
          <w:rFonts w:eastAsia="Calibri" w:cs="Times New Roman"/>
          <w:szCs w:val="24"/>
        </w:rPr>
        <w:t xml:space="preserve">. The respondents </w:t>
      </w:r>
      <w:r>
        <w:rPr>
          <w:rFonts w:eastAsia="Calibri" w:cs="Times New Roman"/>
          <w:szCs w:val="24"/>
        </w:rPr>
        <w:t xml:space="preserve">were </w:t>
      </w:r>
      <w:r w:rsidRPr="00623C82">
        <w:rPr>
          <w:rFonts w:eastAsia="Calibri" w:cs="Times New Roman"/>
          <w:szCs w:val="24"/>
        </w:rPr>
        <w:t xml:space="preserve">faced with this problem because most of them fell under </w:t>
      </w:r>
      <w:r>
        <w:rPr>
          <w:rFonts w:eastAsia="Calibri" w:cs="Times New Roman"/>
          <w:szCs w:val="24"/>
        </w:rPr>
        <w:t xml:space="preserve">the </w:t>
      </w:r>
      <w:r w:rsidRPr="00623C82">
        <w:rPr>
          <w:rFonts w:eastAsia="Calibri" w:cs="Times New Roman"/>
          <w:szCs w:val="24"/>
        </w:rPr>
        <w:t xml:space="preserve">middle-income group with </w:t>
      </w:r>
      <w:r>
        <w:rPr>
          <w:rFonts w:eastAsia="Calibri" w:cs="Times New Roman"/>
          <w:szCs w:val="24"/>
        </w:rPr>
        <w:t>a</w:t>
      </w:r>
      <w:r w:rsidRPr="00623C82">
        <w:rPr>
          <w:rFonts w:eastAsia="Calibri" w:cs="Times New Roman"/>
          <w:szCs w:val="24"/>
        </w:rPr>
        <w:t xml:space="preserve"> salary between RM3, 000 to RM10, 000</w:t>
      </w:r>
      <w:r>
        <w:rPr>
          <w:rFonts w:eastAsia="Calibri" w:cs="Times New Roman"/>
          <w:szCs w:val="24"/>
        </w:rPr>
        <w:t>,</w:t>
      </w:r>
      <w:r w:rsidRPr="00623C82">
        <w:rPr>
          <w:rFonts w:eastAsia="Calibri" w:cs="Times New Roman"/>
          <w:szCs w:val="24"/>
        </w:rPr>
        <w:t xml:space="preserve"> and were burdened with other financial commitments. </w:t>
      </w:r>
    </w:p>
    <w:p w14:paraId="7080BF53" w14:textId="77777777" w:rsidR="00B64D8B" w:rsidRDefault="00FC76F5" w:rsidP="004E63A5">
      <w:pPr>
        <w:spacing w:after="0"/>
        <w:ind w:firstLine="720"/>
      </w:pPr>
      <w:r w:rsidRPr="00623C82">
        <w:rPr>
          <w:rFonts w:eastAsia="Calibri" w:cs="Times New Roman"/>
          <w:szCs w:val="24"/>
        </w:rPr>
        <w:t>The current economic condition is unstable especially during these hard times. The cost of living in this country is considered high</w:t>
      </w:r>
      <w:r>
        <w:rPr>
          <w:rFonts w:eastAsia="Calibri" w:cs="Times New Roman"/>
          <w:szCs w:val="24"/>
        </w:rPr>
        <w:t>,</w:t>
      </w:r>
      <w:r w:rsidRPr="00623C82">
        <w:rPr>
          <w:rFonts w:eastAsia="Calibri" w:cs="Times New Roman"/>
          <w:szCs w:val="24"/>
        </w:rPr>
        <w:t xml:space="preserve"> especially after the introduction of </w:t>
      </w:r>
      <w:r>
        <w:rPr>
          <w:rFonts w:eastAsia="Calibri" w:cs="Times New Roman"/>
          <w:szCs w:val="24"/>
        </w:rPr>
        <w:t xml:space="preserve">the </w:t>
      </w:r>
      <w:r w:rsidRPr="00623C82">
        <w:rPr>
          <w:rFonts w:eastAsia="Calibri" w:cs="Times New Roman"/>
          <w:szCs w:val="24"/>
        </w:rPr>
        <w:t xml:space="preserve">Goods and </w:t>
      </w:r>
      <w:r w:rsidRPr="00623C82">
        <w:rPr>
          <w:rFonts w:eastAsia="Calibri" w:cs="Times New Roman"/>
          <w:szCs w:val="24"/>
        </w:rPr>
        <w:lastRenderedPageBreak/>
        <w:t>Sales Tax (GST). Their income</w:t>
      </w:r>
      <w:r>
        <w:rPr>
          <w:rFonts w:eastAsia="Calibri" w:cs="Times New Roman"/>
          <w:szCs w:val="24"/>
        </w:rPr>
        <w:t>s</w:t>
      </w:r>
      <w:r w:rsidRPr="00623C82">
        <w:rPr>
          <w:rFonts w:eastAsia="Calibri" w:cs="Times New Roman"/>
          <w:szCs w:val="24"/>
        </w:rPr>
        <w:t xml:space="preserve"> </w:t>
      </w:r>
      <w:r>
        <w:rPr>
          <w:rFonts w:eastAsia="Calibri" w:cs="Times New Roman"/>
          <w:szCs w:val="24"/>
        </w:rPr>
        <w:t>were</w:t>
      </w:r>
      <w:r w:rsidRPr="00623C82">
        <w:rPr>
          <w:rFonts w:eastAsia="Calibri" w:cs="Times New Roman"/>
          <w:szCs w:val="24"/>
        </w:rPr>
        <w:t xml:space="preserve"> insufficient to save for the housing deposits and other housing costs, thus hinder</w:t>
      </w:r>
      <w:r>
        <w:rPr>
          <w:rFonts w:eastAsia="Calibri" w:cs="Times New Roman"/>
          <w:szCs w:val="24"/>
        </w:rPr>
        <w:t>ing</w:t>
      </w:r>
      <w:r w:rsidRPr="00623C82">
        <w:rPr>
          <w:rFonts w:eastAsia="Calibri" w:cs="Times New Roman"/>
          <w:szCs w:val="24"/>
        </w:rPr>
        <w:t xml:space="preserve"> their opportunities to adequate housing (Yip, 2013). Although </w:t>
      </w:r>
      <w:r>
        <w:rPr>
          <w:rFonts w:eastAsia="Calibri" w:cs="Times New Roman"/>
          <w:szCs w:val="24"/>
        </w:rPr>
        <w:t xml:space="preserve">the </w:t>
      </w:r>
      <w:r w:rsidRPr="00623C82">
        <w:rPr>
          <w:rFonts w:eastAsia="Calibri" w:cs="Times New Roman"/>
          <w:szCs w:val="24"/>
        </w:rPr>
        <w:t xml:space="preserve">findings from the survey show that </w:t>
      </w:r>
      <w:r>
        <w:rPr>
          <w:rFonts w:eastAsia="Calibri" w:cs="Times New Roman"/>
          <w:szCs w:val="24"/>
        </w:rPr>
        <w:t xml:space="preserve">the </w:t>
      </w:r>
      <w:r w:rsidRPr="00623C82">
        <w:rPr>
          <w:rFonts w:eastAsia="Calibri" w:cs="Times New Roman"/>
          <w:szCs w:val="24"/>
        </w:rPr>
        <w:t>majority of the respondents save</w:t>
      </w:r>
      <w:r>
        <w:rPr>
          <w:rFonts w:eastAsia="Calibri" w:cs="Times New Roman"/>
          <w:szCs w:val="24"/>
        </w:rPr>
        <w:t>d</w:t>
      </w:r>
      <w:r w:rsidRPr="00623C82">
        <w:rPr>
          <w:rFonts w:eastAsia="Calibri" w:cs="Times New Roman"/>
          <w:szCs w:val="24"/>
        </w:rPr>
        <w:t xml:space="preserve"> every month, their monthly financial commitments and living expenses </w:t>
      </w:r>
      <w:r>
        <w:rPr>
          <w:rFonts w:eastAsia="Calibri" w:cs="Times New Roman"/>
          <w:szCs w:val="24"/>
        </w:rPr>
        <w:t>made</w:t>
      </w:r>
      <w:r w:rsidRPr="00623C82">
        <w:rPr>
          <w:rFonts w:eastAsia="Calibri" w:cs="Times New Roman"/>
          <w:szCs w:val="24"/>
        </w:rPr>
        <w:t xml:space="preserve"> them </w:t>
      </w:r>
      <w:r>
        <w:rPr>
          <w:rFonts w:eastAsia="Calibri" w:cs="Times New Roman"/>
          <w:szCs w:val="24"/>
        </w:rPr>
        <w:t xml:space="preserve">unable </w:t>
      </w:r>
      <w:r w:rsidRPr="00623C82">
        <w:rPr>
          <w:rFonts w:eastAsia="Calibri" w:cs="Times New Roman"/>
          <w:szCs w:val="24"/>
        </w:rPr>
        <w:t xml:space="preserve">to save more for the housing deposit and other housing expenses. Consequently, </w:t>
      </w:r>
      <w:r>
        <w:rPr>
          <w:rFonts w:eastAsia="Calibri" w:cs="Times New Roman"/>
          <w:szCs w:val="24"/>
        </w:rPr>
        <w:t xml:space="preserve">the </w:t>
      </w:r>
      <w:r w:rsidRPr="00623C82">
        <w:rPr>
          <w:rFonts w:eastAsia="Calibri" w:cs="Times New Roman"/>
          <w:szCs w:val="24"/>
        </w:rPr>
        <w:t xml:space="preserve">young people </w:t>
      </w:r>
      <w:r>
        <w:rPr>
          <w:rFonts w:eastAsia="Calibri" w:cs="Times New Roman"/>
          <w:szCs w:val="24"/>
        </w:rPr>
        <w:t>were</w:t>
      </w:r>
      <w:r w:rsidRPr="00623C82">
        <w:rPr>
          <w:rFonts w:eastAsia="Calibri" w:cs="Times New Roman"/>
          <w:szCs w:val="24"/>
        </w:rPr>
        <w:t xml:space="preserve"> frustrated because their pursuit to live independently was hindered by inadequate economic resources and a high cost of housing (Doling &amp; Ronald, 2014).</w:t>
      </w:r>
      <w:r w:rsidR="00253923" w:rsidRPr="00253923">
        <w:t xml:space="preserve"> </w:t>
      </w:r>
      <w:r w:rsidR="00253923" w:rsidRPr="001C58D6">
        <w:t xml:space="preserve">As </w:t>
      </w:r>
      <w:r w:rsidR="00253923">
        <w:t xml:space="preserve">the </w:t>
      </w:r>
      <w:r w:rsidR="00253923" w:rsidRPr="001C58D6">
        <w:t>housing system in Malaysia is regarded as liberal in characteristics, access to housing is not determine</w:t>
      </w:r>
      <w:r w:rsidR="00253923">
        <w:t>d</w:t>
      </w:r>
      <w:r w:rsidR="00253923" w:rsidRPr="001C58D6">
        <w:t xml:space="preserve"> based on non-financial criteria such as needs. Rather, it reflects </w:t>
      </w:r>
      <w:r w:rsidR="00253923">
        <w:t xml:space="preserve">the </w:t>
      </w:r>
      <w:r w:rsidR="00253923" w:rsidRPr="001C58D6">
        <w:t>labour market position</w:t>
      </w:r>
      <w:r w:rsidR="00253923">
        <w:t>,</w:t>
      </w:r>
      <w:r w:rsidR="00253923" w:rsidRPr="001C58D6">
        <w:t xml:space="preserve"> whereby</w:t>
      </w:r>
      <w:r w:rsidR="00253923">
        <w:t>,</w:t>
      </w:r>
      <w:r w:rsidR="00253923" w:rsidRPr="001C58D6">
        <w:t xml:space="preserve"> access to housing is determined by the ability to pay (</w:t>
      </w:r>
      <w:r w:rsidR="00253923">
        <w:fldChar w:fldCharType="begin" w:fldLock="1"/>
      </w:r>
      <w:r w:rsidR="00253923">
        <w:instrText>ADDIN CSL_CITATION { "citationItems" : [ { "id" : "ITEM-1", "itemData" : { "DOI" : "10.1007/s10901-017-9551-8", "ISSN" : "15737772", "abstract" : "With continued economic growth and expanding mortgage markets, until recently the pattern across advanced economies was of growing homeownership sectors. The Great Financial Crisis (GFC) has however, undercut this growth resulting in the contraction of homeownership access in many countries and the revival of private renting. This paper argues that these tenure changes are not solely a consequence of the GFC, and therefore, reversible once long-term growth returns. Rather, they are the consequences of more fundamental changes especially in labour markets. The very financialisation that fuelled the growth of homeownership has also led to a hollowing out of well-paid, secure jobs\u2014exactly those that fit best with the taking of housing loans. We examine longer-term declines in labour market security across Europe from before the GFC, identifying an underlying correlation between deteriorated labour market conditions and homeownership access for young adults. While variations exist across European countries, there is evidence of common trends. We argue that the GFC both accelerated pre-existing labour insecurity dynamics and brought an end to offsetting such dynamics through the expansion of credit access with the likelihood of a return to an era of widespread homeownership growth starkly decreased.", "author" : [ { "dropping-particle" : "", "family" : "Arundel", "given" : "Rowan", "non-dropping-particle" : "", "parse-names" : false, "suffix" : "" }, { "dropping-particle" : "", "family" : "Doling", "given" : "John", "non-dropping-particle" : "", "parse-names" : false, "suffix" : "" } ], "container-title" : "Journal of Housing and the Built Environment", "id" : "ITEM-1", "issued" : { "date-parts" : [ [ "2017" ] ] }, "page" : "1-24", "publisher" : "Springer Netherlands", "title" : "The end of mass homeownership? Changes in labour markets and housing tenure opportunities across Europe", "type" : "article-journal" }, "uris" : [ "http://www.mendeley.com/documents/?uuid=46069d34-9caf-492c-adc3-76afa0aa152b" ] } ], "mendeley" : { "formattedCitation" : "(Arundel &amp; Doling, 2017)", "manualFormatting" : "(Arundel &amp; Doling, 2017;", "plainTextFormattedCitation" : "(Arundel &amp; Doling, 2017)", "previouslyFormattedCitation" : "(Arundel &amp; Doling, 2017)" }, "properties" : { "noteIndex" : 0 }, "schema" : "https://github.com/citation-style-language/schema/raw/master/csl-citation.json" }</w:instrText>
      </w:r>
      <w:r w:rsidR="00253923">
        <w:fldChar w:fldCharType="separate"/>
      </w:r>
      <w:r w:rsidR="00253923" w:rsidRPr="00BF582E">
        <w:rPr>
          <w:noProof/>
        </w:rPr>
        <w:t>Arundel &amp; Doling, 2017</w:t>
      </w:r>
      <w:r w:rsidR="00253923">
        <w:rPr>
          <w:noProof/>
        </w:rPr>
        <w:t>;</w:t>
      </w:r>
      <w:r w:rsidR="00253923">
        <w:fldChar w:fldCharType="end"/>
      </w:r>
      <w:r w:rsidR="00253923">
        <w:t xml:space="preserve"> </w:t>
      </w:r>
      <w:r w:rsidR="00253923" w:rsidRPr="001C58D6">
        <w:t>Reed &amp; Ume, 2016</w:t>
      </w:r>
      <w:r w:rsidR="00253923">
        <w:t>;</w:t>
      </w:r>
      <w:r w:rsidR="00253923" w:rsidRPr="001C58D6">
        <w:t xml:space="preserve"> </w:t>
      </w:r>
      <w:r w:rsidR="00253923">
        <w:fldChar w:fldCharType="begin" w:fldLock="1"/>
      </w:r>
      <w:r w:rsidR="00253923">
        <w:instrText>ADDIN CSL_CITATION { "citationItems" : [ { "id" : "ITEM-1", "itemData" : { "DOI" : "10.1177/110330881102000102", "ISSN" : "1103-3088", "abstract" : "This article sets out to describe and comparatively identify the possible economic, institutional and cultural factors that take part in the process of transition to adulthood, with particular emphasis on factors that explain why young people in Spain leave the parental home late in life. To do this, a number of indicators have been selected and made up using data from different international statistical sources. The results obtained suggest that in the welfare regimes of Southern Europe, and particularly in Spain, factors such as scarce emancipation policies, the cross-generational solidarity, the home-ownership culture, young people\u2019s economic situation and job insecurity, together with the inflexibility and the costly housing market have all created a culture of parental dependence as a strategy for accumulating capital and for coping with risks in a precarious environment exemplified by the social exclusion and poverty. The analysis has highlighted gender differences in the process of transition to adulthood. The combined analysis of all these factors has enabled a more in-depth understanding of the possible causes of the delay in the process of leaving the parental home experienced by the Spanish young people in a comparative perspective.", "author" : [ { "dropping-particle" : "", "family" : "Moreno", "given" : "a.", "non-dropping-particle" : "", "parse-names" : false, "suffix" : "" } ], "container-title" : "Young", "id" : "ITEM-1", "issue" : "1", "issued" : { "date-parts" : [ [ "2012" ] ] }, "page" : "19-48", "title" : "The Transition to Adulthood in Spain in a Comparative Perspective: The Incidence of Structural Factors", "type" : "article-journal", "volume" : "20" }, "uris" : [ "http://www.mendeley.com/documents/?uuid=6db627f5-ee8b-4fb5-96a4-86dcabb771da" ] } ], "mendeley" : { "formattedCitation" : "(Moreno, 2012)", "manualFormatting" : "Moreno, 2012)", "plainTextFormattedCitation" : "(Moreno, 2012)", "previouslyFormattedCitation" : "(Moreno, 2012)" }, "properties" : { "noteIndex" : 0 }, "schema" : "https://github.com/citation-style-language/schema/raw/master/csl-citation.json" }</w:instrText>
      </w:r>
      <w:r w:rsidR="00253923">
        <w:fldChar w:fldCharType="separate"/>
      </w:r>
      <w:r w:rsidR="00253923" w:rsidRPr="00162982">
        <w:rPr>
          <w:noProof/>
        </w:rPr>
        <w:t>Moreno, 2012</w:t>
      </w:r>
      <w:r w:rsidR="00253923">
        <w:fldChar w:fldCharType="end"/>
      </w:r>
      <w:r w:rsidR="00253923">
        <w:t xml:space="preserve">; </w:t>
      </w:r>
      <w:r w:rsidR="00253923" w:rsidRPr="001C58D6">
        <w:t>Ronald &amp; Doling, 2010).</w:t>
      </w:r>
      <w:r w:rsidR="00B64D8B" w:rsidRPr="00B64D8B">
        <w:t xml:space="preserve"> </w:t>
      </w:r>
    </w:p>
    <w:p w14:paraId="64FD70A1" w14:textId="1638C4AC" w:rsidR="00FC76F5" w:rsidRPr="00623C82" w:rsidRDefault="00B64D8B" w:rsidP="004E63A5">
      <w:pPr>
        <w:spacing w:after="0"/>
        <w:ind w:firstLine="720"/>
        <w:rPr>
          <w:rFonts w:eastAsia="Calibri" w:cs="Times New Roman"/>
          <w:szCs w:val="24"/>
        </w:rPr>
      </w:pPr>
      <w:r w:rsidRPr="005563E2">
        <w:t xml:space="preserve">There is </w:t>
      </w:r>
      <w:r>
        <w:t xml:space="preserve">a </w:t>
      </w:r>
      <w:r w:rsidRPr="005563E2">
        <w:t>high loan rejection from banking institutions for mortgage financing due to insufficient income and poor credit among</w:t>
      </w:r>
      <w:r>
        <w:t>st</w:t>
      </w:r>
      <w:r w:rsidRPr="005563E2">
        <w:t xml:space="preserve"> the younger generation. This issue was further highlighted by REHDA President, Datuk Seri FD Iskandar during the media briefing on September 11, 2015, saying that amongst the biggest problems of loan rejection was due to the ineligibility of </w:t>
      </w:r>
      <w:r>
        <w:t xml:space="preserve">the </w:t>
      </w:r>
      <w:r w:rsidRPr="005563E2">
        <w:t xml:space="preserve">buyers’ income and </w:t>
      </w:r>
      <w:r>
        <w:t xml:space="preserve">a </w:t>
      </w:r>
      <w:r w:rsidRPr="005563E2">
        <w:t>poor credit history from CCRIS/CTOS (showing the arrears of loans) The highest loan rejection was reported for the property price ranging from RM250, 001 to RM500, 000 and RM700, 000 to RM1 million (REHDA, 2015).</w:t>
      </w:r>
    </w:p>
    <w:p w14:paraId="59DE7299" w14:textId="6AE710A7" w:rsidR="00B64D8B" w:rsidRPr="005A6CF2" w:rsidRDefault="00B64D8B" w:rsidP="00E0051F">
      <w:pPr>
        <w:spacing w:after="0"/>
        <w:ind w:firstLine="720"/>
      </w:pPr>
      <w:r w:rsidRPr="005A6CF2">
        <w:t>The above result of the survey is in</w:t>
      </w:r>
      <w:r>
        <w:t xml:space="preserve"> line</w:t>
      </w:r>
      <w:r w:rsidRPr="005A6CF2">
        <w:t xml:space="preserve"> with findings from the interview</w:t>
      </w:r>
      <w:r>
        <w:t>s</w:t>
      </w:r>
      <w:r w:rsidRPr="005A6CF2">
        <w:t xml:space="preserve"> with </w:t>
      </w:r>
      <w:r>
        <w:t xml:space="preserve">the </w:t>
      </w:r>
      <w:r w:rsidRPr="005A6CF2">
        <w:t>yo</w:t>
      </w:r>
      <w:r>
        <w:t>ung people. The respondents kept</w:t>
      </w:r>
      <w:r w:rsidRPr="005A6CF2">
        <w:t xml:space="preserve"> on mentioning i</w:t>
      </w:r>
      <w:r>
        <w:t xml:space="preserve">nsufficient income that hindered </w:t>
      </w:r>
      <w:r w:rsidRPr="005A6CF2">
        <w:t xml:space="preserve">their housing opportunities. </w:t>
      </w:r>
      <w:r>
        <w:t>As most of the young people had</w:t>
      </w:r>
      <w:r w:rsidRPr="005A6CF2">
        <w:t xml:space="preserve"> just started their career</w:t>
      </w:r>
      <w:r>
        <w:t>s</w:t>
      </w:r>
      <w:r w:rsidRPr="005A6CF2">
        <w:t xml:space="preserve"> and live</w:t>
      </w:r>
      <w:r>
        <w:t>d</w:t>
      </w:r>
      <w:r w:rsidRPr="005A6CF2">
        <w:t xml:space="preserve"> independently, they </w:t>
      </w:r>
      <w:r>
        <w:t xml:space="preserve">were </w:t>
      </w:r>
      <w:r w:rsidRPr="005A6CF2">
        <w:t xml:space="preserve">often faced with economic uncertainties since the salary and benefits were lower (Rugg, 2010). </w:t>
      </w:r>
      <w:r>
        <w:t>They faced with</w:t>
      </w:r>
      <w:r w:rsidRPr="005A6CF2">
        <w:t xml:space="preserve"> housing affordability problems associated with low-income,</w:t>
      </w:r>
      <w:r>
        <w:t xml:space="preserve"> the difficulty </w:t>
      </w:r>
      <w:r w:rsidRPr="005A6CF2">
        <w:t>to pay for</w:t>
      </w:r>
      <w:r>
        <w:t xml:space="preserve"> the</w:t>
      </w:r>
      <w:r w:rsidRPr="005A6CF2">
        <w:t xml:space="preserve"> housing deposit and to secure the financing (</w:t>
      </w:r>
      <w:r>
        <w:t>Ahmad</w:t>
      </w:r>
      <w:r w:rsidRPr="005A6CF2">
        <w:t xml:space="preserve"> et al., 2015). Many Malaysian households have limited savings due to their low income and other fi</w:t>
      </w:r>
      <w:r>
        <w:t>nancial commitments, thus limiting</w:t>
      </w:r>
      <w:r w:rsidRPr="005A6CF2">
        <w:t xml:space="preserve"> their housing opportunities (</w:t>
      </w:r>
      <w:proofErr w:type="spellStart"/>
      <w:r w:rsidRPr="005A6CF2">
        <w:t>K</w:t>
      </w:r>
      <w:r w:rsidR="00B92D12">
        <w:t>hazanah</w:t>
      </w:r>
      <w:proofErr w:type="spellEnd"/>
      <w:r w:rsidR="00B92D12">
        <w:t xml:space="preserve"> </w:t>
      </w:r>
      <w:r w:rsidRPr="005A6CF2">
        <w:t>R</w:t>
      </w:r>
      <w:r w:rsidR="00B92D12">
        <w:t xml:space="preserve">esearch </w:t>
      </w:r>
      <w:r w:rsidRPr="005A6CF2">
        <w:t>I</w:t>
      </w:r>
      <w:r w:rsidR="00B92D12">
        <w:t>nstitute</w:t>
      </w:r>
      <w:r w:rsidRPr="005A6CF2">
        <w:t>, 2014). All the respondents cited that insuff</w:t>
      </w:r>
      <w:r>
        <w:t>icient income was the challenge</w:t>
      </w:r>
      <w:r w:rsidRPr="005A6CF2">
        <w:t xml:space="preserve"> they faced in their pursuit of adequate housing. </w:t>
      </w:r>
    </w:p>
    <w:p w14:paraId="45DF42E1" w14:textId="77777777" w:rsidR="00B64D8B" w:rsidRPr="005A6CF2" w:rsidRDefault="00B64D8B" w:rsidP="00E0051F">
      <w:pPr>
        <w:spacing w:line="240" w:lineRule="auto"/>
        <w:ind w:left="720" w:right="1124"/>
        <w:rPr>
          <w:i/>
          <w:sz w:val="22"/>
        </w:rPr>
      </w:pPr>
      <w:r w:rsidRPr="005A6CF2">
        <w:rPr>
          <w:i/>
          <w:sz w:val="22"/>
        </w:rPr>
        <w:t>“At this moment, my current income is insufficient to own, but I can rent. However, to rent also, the rental is so expensive</w:t>
      </w:r>
      <w:r>
        <w:rPr>
          <w:i/>
          <w:sz w:val="22"/>
        </w:rPr>
        <w:t>,</w:t>
      </w:r>
      <w:r w:rsidRPr="005A6CF2">
        <w:rPr>
          <w:i/>
          <w:sz w:val="22"/>
        </w:rPr>
        <w:t xml:space="preserve"> especially in my area, Shah </w:t>
      </w:r>
      <w:proofErr w:type="spellStart"/>
      <w:r w:rsidRPr="005A6CF2">
        <w:rPr>
          <w:i/>
          <w:sz w:val="22"/>
        </w:rPr>
        <w:t>Alam</w:t>
      </w:r>
      <w:proofErr w:type="spellEnd"/>
      <w:r w:rsidRPr="005A6CF2">
        <w:rPr>
          <w:i/>
          <w:sz w:val="22"/>
        </w:rPr>
        <w:t xml:space="preserve">. Based on my current situations, I think I </w:t>
      </w:r>
      <w:r>
        <w:rPr>
          <w:i/>
          <w:sz w:val="22"/>
        </w:rPr>
        <w:t xml:space="preserve">am </w:t>
      </w:r>
      <w:r w:rsidRPr="005A6CF2">
        <w:rPr>
          <w:i/>
          <w:sz w:val="22"/>
        </w:rPr>
        <w:t xml:space="preserve">just able to rent because I have my family and lots of commitments and financial constraints that </w:t>
      </w:r>
      <w:r>
        <w:rPr>
          <w:i/>
          <w:sz w:val="22"/>
        </w:rPr>
        <w:t xml:space="preserve">do </w:t>
      </w:r>
      <w:r w:rsidRPr="005A6CF2">
        <w:rPr>
          <w:i/>
          <w:sz w:val="22"/>
        </w:rPr>
        <w:t xml:space="preserve">not allow us to buy a house yet” </w:t>
      </w:r>
    </w:p>
    <w:p w14:paraId="5DC2EB30" w14:textId="0E7718C6" w:rsidR="00B64D8B" w:rsidRPr="00B64D8B" w:rsidRDefault="00B64D8B" w:rsidP="00E0051F">
      <w:pPr>
        <w:ind w:left="1080" w:right="1124"/>
        <w:rPr>
          <w:sz w:val="22"/>
        </w:rPr>
      </w:pPr>
      <w:r w:rsidRPr="005A6CF2">
        <w:rPr>
          <w:sz w:val="22"/>
        </w:rPr>
        <w:t xml:space="preserve">        </w:t>
      </w:r>
      <w:r>
        <w:rPr>
          <w:sz w:val="22"/>
        </w:rPr>
        <w:tab/>
      </w:r>
      <w:r>
        <w:rPr>
          <w:sz w:val="22"/>
        </w:rPr>
        <w:tab/>
      </w:r>
      <w:r>
        <w:rPr>
          <w:sz w:val="22"/>
        </w:rPr>
        <w:tab/>
      </w:r>
      <w:r>
        <w:rPr>
          <w:sz w:val="22"/>
        </w:rPr>
        <w:tab/>
        <w:t xml:space="preserve">            </w:t>
      </w:r>
      <w:r w:rsidRPr="005A6CF2">
        <w:rPr>
          <w:sz w:val="22"/>
        </w:rPr>
        <w:t>(Myra/</w:t>
      </w:r>
      <w:r>
        <w:rPr>
          <w:sz w:val="22"/>
        </w:rPr>
        <w:t xml:space="preserve">18 </w:t>
      </w:r>
      <w:r w:rsidRPr="005A6CF2">
        <w:rPr>
          <w:sz w:val="22"/>
        </w:rPr>
        <w:t>Nov 2016/12pm)</w:t>
      </w:r>
    </w:p>
    <w:p w14:paraId="19C57FC9" w14:textId="77777777" w:rsidR="00B64D8B" w:rsidRPr="005A6CF2" w:rsidRDefault="00B64D8B" w:rsidP="00E0051F">
      <w:pPr>
        <w:spacing w:line="240" w:lineRule="auto"/>
        <w:ind w:left="720" w:right="1124"/>
        <w:rPr>
          <w:i/>
          <w:sz w:val="22"/>
        </w:rPr>
      </w:pPr>
      <w:r w:rsidRPr="005A6CF2">
        <w:rPr>
          <w:i/>
          <w:sz w:val="22"/>
        </w:rPr>
        <w:lastRenderedPageBreak/>
        <w:t xml:space="preserve">“One of the challenges that I </w:t>
      </w:r>
      <w:r>
        <w:rPr>
          <w:i/>
          <w:sz w:val="22"/>
        </w:rPr>
        <w:t xml:space="preserve">have </w:t>
      </w:r>
      <w:r w:rsidRPr="005A6CF2">
        <w:rPr>
          <w:i/>
          <w:sz w:val="22"/>
        </w:rPr>
        <w:t>faced in owning a home is insufficient income. I have my savings every month, but the saving</w:t>
      </w:r>
      <w:r>
        <w:rPr>
          <w:i/>
          <w:sz w:val="22"/>
        </w:rPr>
        <w:t>s are</w:t>
      </w:r>
      <w:r w:rsidRPr="005A6CF2">
        <w:rPr>
          <w:i/>
          <w:sz w:val="22"/>
        </w:rPr>
        <w:t xml:space="preserve"> for other emergency matters. It is not enough for the housing down-payment. Other thing that keep me thinking is whether I can afford the monthly loan instalment. I may </w:t>
      </w:r>
      <w:r>
        <w:rPr>
          <w:i/>
          <w:sz w:val="22"/>
        </w:rPr>
        <w:t xml:space="preserve">have </w:t>
      </w:r>
      <w:r w:rsidRPr="005A6CF2">
        <w:rPr>
          <w:i/>
          <w:sz w:val="22"/>
        </w:rPr>
        <w:t xml:space="preserve">success in getting </w:t>
      </w:r>
      <w:r>
        <w:rPr>
          <w:i/>
          <w:sz w:val="22"/>
        </w:rPr>
        <w:t xml:space="preserve">a </w:t>
      </w:r>
      <w:r w:rsidRPr="005A6CF2">
        <w:rPr>
          <w:i/>
          <w:sz w:val="22"/>
        </w:rPr>
        <w:t>housin</w:t>
      </w:r>
      <w:r>
        <w:rPr>
          <w:i/>
          <w:sz w:val="22"/>
        </w:rPr>
        <w:t>g loan, but I might end up spending</w:t>
      </w:r>
      <w:r w:rsidRPr="005A6CF2">
        <w:rPr>
          <w:i/>
          <w:sz w:val="22"/>
        </w:rPr>
        <w:t xml:space="preserve"> more on </w:t>
      </w:r>
      <w:r>
        <w:rPr>
          <w:i/>
          <w:sz w:val="22"/>
        </w:rPr>
        <w:t xml:space="preserve">the </w:t>
      </w:r>
      <w:r w:rsidRPr="005A6CF2">
        <w:rPr>
          <w:i/>
          <w:sz w:val="22"/>
        </w:rPr>
        <w:t>housing instalment at the expense of other commitment</w:t>
      </w:r>
      <w:r>
        <w:rPr>
          <w:i/>
          <w:sz w:val="22"/>
        </w:rPr>
        <w:t>s</w:t>
      </w:r>
      <w:r w:rsidRPr="005A6CF2">
        <w:rPr>
          <w:i/>
          <w:sz w:val="22"/>
        </w:rPr>
        <w:t xml:space="preserve">”  </w:t>
      </w:r>
    </w:p>
    <w:p w14:paraId="2035203E" w14:textId="02C5A12A" w:rsidR="00B64D8B" w:rsidRPr="005A6CF2" w:rsidRDefault="00B64D8B" w:rsidP="00E0051F">
      <w:pPr>
        <w:ind w:left="1080" w:right="1124" w:firstLine="720"/>
        <w:rPr>
          <w:sz w:val="22"/>
        </w:rPr>
      </w:pPr>
      <w:r w:rsidRPr="005A6CF2">
        <w:rPr>
          <w:sz w:val="22"/>
        </w:rPr>
        <w:tab/>
      </w:r>
      <w:r w:rsidRPr="005A6CF2">
        <w:rPr>
          <w:sz w:val="22"/>
        </w:rPr>
        <w:tab/>
      </w:r>
      <w:r w:rsidRPr="005A6CF2">
        <w:rPr>
          <w:sz w:val="22"/>
        </w:rPr>
        <w:tab/>
      </w:r>
      <w:r w:rsidRPr="005A6CF2">
        <w:rPr>
          <w:sz w:val="22"/>
        </w:rPr>
        <w:tab/>
        <w:t xml:space="preserve">      (Christina /</w:t>
      </w:r>
      <w:r>
        <w:rPr>
          <w:sz w:val="22"/>
        </w:rPr>
        <w:t xml:space="preserve">10 </w:t>
      </w:r>
      <w:r w:rsidRPr="005A6CF2">
        <w:rPr>
          <w:sz w:val="22"/>
        </w:rPr>
        <w:t>Dec 2016/10am)</w:t>
      </w:r>
    </w:p>
    <w:p w14:paraId="3122B12F" w14:textId="1CF0FC54" w:rsidR="00B64D8B" w:rsidRPr="005A6CF2" w:rsidRDefault="00B64D8B" w:rsidP="00E0051F">
      <w:pPr>
        <w:spacing w:line="240" w:lineRule="auto"/>
        <w:ind w:left="720" w:right="1124"/>
        <w:rPr>
          <w:i/>
          <w:sz w:val="22"/>
        </w:rPr>
      </w:pPr>
      <w:r w:rsidRPr="005A6CF2">
        <w:rPr>
          <w:i/>
          <w:sz w:val="22"/>
        </w:rPr>
        <w:t>“We cannot control the housing price because no matter what, the price is already set. So, to say that it is a challenge, for me, it is not. But my problem is financial capability. Being young, new to the workplace, salary is not high, a lot of commitment</w:t>
      </w:r>
      <w:r>
        <w:rPr>
          <w:i/>
          <w:sz w:val="22"/>
        </w:rPr>
        <w:t>s</w:t>
      </w:r>
      <w:r w:rsidRPr="005A6CF2">
        <w:rPr>
          <w:i/>
          <w:sz w:val="22"/>
        </w:rPr>
        <w:t xml:space="preserve">, just started my life, with all this, my income is insufficient to own a house. Either rental or buying, if I have no money, then buying is not worth it because it is long term commitment. I have to think about that also” </w:t>
      </w:r>
      <w:r w:rsidRPr="005A6CF2">
        <w:rPr>
          <w:i/>
          <w:sz w:val="22"/>
        </w:rPr>
        <w:tab/>
      </w:r>
    </w:p>
    <w:p w14:paraId="1AF41691" w14:textId="77777777" w:rsidR="00B64D8B" w:rsidRDefault="00B64D8B" w:rsidP="00E0051F">
      <w:pPr>
        <w:spacing w:line="240" w:lineRule="auto"/>
        <w:ind w:left="1080" w:right="1124"/>
        <w:rPr>
          <w:sz w:val="22"/>
        </w:rPr>
      </w:pPr>
      <w:r w:rsidRPr="005A6CF2">
        <w:rPr>
          <w:sz w:val="22"/>
        </w:rPr>
        <w:t xml:space="preserve">         </w:t>
      </w:r>
      <w:r w:rsidRPr="005A6CF2">
        <w:rPr>
          <w:sz w:val="22"/>
        </w:rPr>
        <w:tab/>
      </w:r>
      <w:r w:rsidRPr="005A6CF2">
        <w:rPr>
          <w:sz w:val="22"/>
        </w:rPr>
        <w:tab/>
      </w:r>
      <w:r w:rsidRPr="005A6CF2">
        <w:rPr>
          <w:sz w:val="22"/>
        </w:rPr>
        <w:tab/>
      </w:r>
      <w:r w:rsidRPr="005A6CF2">
        <w:rPr>
          <w:sz w:val="22"/>
        </w:rPr>
        <w:tab/>
      </w:r>
      <w:r w:rsidRPr="005A6CF2">
        <w:rPr>
          <w:sz w:val="22"/>
        </w:rPr>
        <w:tab/>
        <w:t xml:space="preserve"> (Tan/</w:t>
      </w:r>
      <w:r>
        <w:rPr>
          <w:sz w:val="22"/>
        </w:rPr>
        <w:t xml:space="preserve">9 </w:t>
      </w:r>
      <w:r w:rsidRPr="005A6CF2">
        <w:rPr>
          <w:sz w:val="22"/>
        </w:rPr>
        <w:t>Oct 2016/4.30pm)</w:t>
      </w:r>
    </w:p>
    <w:p w14:paraId="5D9A8582" w14:textId="756CF016" w:rsidR="00B64D8B" w:rsidRPr="005A6CF2" w:rsidRDefault="00B64D8B" w:rsidP="00E0051F">
      <w:pPr>
        <w:spacing w:line="240" w:lineRule="auto"/>
        <w:ind w:left="720" w:right="1124"/>
        <w:rPr>
          <w:i/>
          <w:sz w:val="22"/>
        </w:rPr>
      </w:pPr>
      <w:r w:rsidRPr="005A6CF2">
        <w:rPr>
          <w:i/>
          <w:sz w:val="22"/>
        </w:rPr>
        <w:t xml:space="preserve"> “My main concern is regarding my financial ability. As what I can say at this point of time, I have financial difficulties if I choose to own a house. Because I must balance my income and monthl</w:t>
      </w:r>
      <w:r>
        <w:rPr>
          <w:i/>
          <w:sz w:val="22"/>
        </w:rPr>
        <w:t>y loan instalment as it involves a</w:t>
      </w:r>
      <w:r w:rsidRPr="005A6CF2">
        <w:rPr>
          <w:i/>
          <w:sz w:val="22"/>
        </w:rPr>
        <w:t xml:space="preserve"> long-term commitment. I have too many </w:t>
      </w:r>
      <w:r>
        <w:rPr>
          <w:i/>
          <w:sz w:val="22"/>
        </w:rPr>
        <w:t xml:space="preserve">things on my plate </w:t>
      </w:r>
      <w:r w:rsidRPr="005A6CF2">
        <w:rPr>
          <w:i/>
          <w:sz w:val="22"/>
        </w:rPr>
        <w:t>right now, thus, I could not afford to own a house with such price</w:t>
      </w:r>
      <w:r>
        <w:rPr>
          <w:i/>
          <w:sz w:val="22"/>
        </w:rPr>
        <w:t>s</w:t>
      </w:r>
      <w:r w:rsidRPr="005A6CF2">
        <w:rPr>
          <w:i/>
          <w:sz w:val="22"/>
        </w:rPr>
        <w:t xml:space="preserve"> offered in the housing market. So, I can say my biggest chal</w:t>
      </w:r>
      <w:r>
        <w:rPr>
          <w:i/>
          <w:sz w:val="22"/>
        </w:rPr>
        <w:t>lenge</w:t>
      </w:r>
      <w:r w:rsidRPr="005A6CF2">
        <w:rPr>
          <w:i/>
          <w:sz w:val="22"/>
        </w:rPr>
        <w:t xml:space="preserve"> is regarding my financial</w:t>
      </w:r>
      <w:r>
        <w:rPr>
          <w:i/>
          <w:sz w:val="22"/>
        </w:rPr>
        <w:t xml:space="preserve"> ability</w:t>
      </w:r>
      <w:r w:rsidRPr="005A6CF2">
        <w:rPr>
          <w:i/>
          <w:sz w:val="22"/>
        </w:rPr>
        <w:t>”</w:t>
      </w:r>
    </w:p>
    <w:p w14:paraId="0C00AB2A" w14:textId="77777777" w:rsidR="00B64D8B" w:rsidRPr="005A6CF2" w:rsidRDefault="00B64D8B" w:rsidP="00E0051F">
      <w:pPr>
        <w:ind w:left="5040" w:right="1124"/>
        <w:rPr>
          <w:sz w:val="22"/>
        </w:rPr>
      </w:pPr>
      <w:r>
        <w:rPr>
          <w:sz w:val="22"/>
        </w:rPr>
        <w:t xml:space="preserve">  </w:t>
      </w:r>
      <w:r w:rsidRPr="005A6CF2">
        <w:rPr>
          <w:sz w:val="22"/>
        </w:rPr>
        <w:t>(Seri/</w:t>
      </w:r>
      <w:r>
        <w:rPr>
          <w:sz w:val="22"/>
        </w:rPr>
        <w:t xml:space="preserve">15 </w:t>
      </w:r>
      <w:r w:rsidRPr="005A6CF2">
        <w:rPr>
          <w:sz w:val="22"/>
        </w:rPr>
        <w:t>Oct 2016/10am)</w:t>
      </w:r>
    </w:p>
    <w:p w14:paraId="10B3230F" w14:textId="77777777" w:rsidR="00B64D8B" w:rsidRPr="005A6CF2" w:rsidRDefault="00B64D8B" w:rsidP="00E0051F">
      <w:pPr>
        <w:spacing w:line="240" w:lineRule="auto"/>
        <w:ind w:left="720" w:right="1124"/>
        <w:rPr>
          <w:sz w:val="22"/>
        </w:rPr>
      </w:pPr>
      <w:r w:rsidRPr="005A6CF2">
        <w:rPr>
          <w:i/>
          <w:sz w:val="22"/>
        </w:rPr>
        <w:t>“For me</w:t>
      </w:r>
      <w:r>
        <w:rPr>
          <w:i/>
          <w:sz w:val="22"/>
        </w:rPr>
        <w:t>,</w:t>
      </w:r>
      <w:r w:rsidRPr="005A6CF2">
        <w:rPr>
          <w:i/>
          <w:sz w:val="22"/>
        </w:rPr>
        <w:t xml:space="preserve"> as young people and especially to those young people working in urban areas, we have to be smart in our spending. I</w:t>
      </w:r>
      <w:r>
        <w:rPr>
          <w:i/>
          <w:sz w:val="22"/>
        </w:rPr>
        <w:t>f we cannot manage our finance, so it makes</w:t>
      </w:r>
      <w:r w:rsidRPr="005A6CF2">
        <w:rPr>
          <w:i/>
          <w:sz w:val="22"/>
        </w:rPr>
        <w:t xml:space="preserve"> us difficult to save money to buy a house. For young people staying in the major towns/city centres, we tend to spend more on entertainment, food hunting at lavish place</w:t>
      </w:r>
      <w:r>
        <w:rPr>
          <w:i/>
          <w:sz w:val="22"/>
        </w:rPr>
        <w:t>s, hangout at the coffee</w:t>
      </w:r>
      <w:r w:rsidRPr="005A6CF2">
        <w:rPr>
          <w:i/>
          <w:sz w:val="22"/>
        </w:rPr>
        <w:t xml:space="preserve"> hipster</w:t>
      </w:r>
      <w:r>
        <w:rPr>
          <w:i/>
          <w:sz w:val="22"/>
        </w:rPr>
        <w:t xml:space="preserve"> places</w:t>
      </w:r>
      <w:r w:rsidRPr="005A6CF2">
        <w:rPr>
          <w:i/>
          <w:sz w:val="22"/>
        </w:rPr>
        <w:t>. That</w:t>
      </w:r>
      <w:r>
        <w:rPr>
          <w:i/>
          <w:sz w:val="22"/>
        </w:rPr>
        <w:t>’s what makes us</w:t>
      </w:r>
      <w:r w:rsidRPr="005A6CF2">
        <w:rPr>
          <w:i/>
          <w:sz w:val="22"/>
        </w:rPr>
        <w:t xml:space="preserve"> find it difficult to get a house because we cannot manage our </w:t>
      </w:r>
      <w:r>
        <w:rPr>
          <w:i/>
          <w:sz w:val="22"/>
        </w:rPr>
        <w:t>own finance</w:t>
      </w:r>
      <w:r w:rsidRPr="005A6CF2">
        <w:rPr>
          <w:i/>
          <w:sz w:val="22"/>
        </w:rPr>
        <w:t>. I think that everybody including me can afford to ow</w:t>
      </w:r>
      <w:r>
        <w:rPr>
          <w:i/>
          <w:sz w:val="22"/>
        </w:rPr>
        <w:t>n one if we manage our finance</w:t>
      </w:r>
      <w:r w:rsidRPr="005A6CF2">
        <w:rPr>
          <w:i/>
          <w:sz w:val="22"/>
        </w:rPr>
        <w:t xml:space="preserve"> wisely</w:t>
      </w:r>
      <w:r w:rsidRPr="005A6CF2">
        <w:rPr>
          <w:sz w:val="22"/>
        </w:rPr>
        <w:t>”</w:t>
      </w:r>
    </w:p>
    <w:p w14:paraId="43549DC9" w14:textId="77777777" w:rsidR="00B64D8B" w:rsidRPr="005A6CF2" w:rsidRDefault="00B64D8B" w:rsidP="00E0051F">
      <w:pPr>
        <w:spacing w:line="240" w:lineRule="auto"/>
        <w:ind w:left="4320" w:right="1124"/>
        <w:rPr>
          <w:sz w:val="22"/>
        </w:rPr>
      </w:pPr>
      <w:r w:rsidRPr="005A6CF2">
        <w:rPr>
          <w:sz w:val="22"/>
        </w:rPr>
        <w:t xml:space="preserve">   (Anas Mikael/</w:t>
      </w:r>
      <w:r>
        <w:rPr>
          <w:sz w:val="22"/>
        </w:rPr>
        <w:t xml:space="preserve">17 </w:t>
      </w:r>
      <w:r w:rsidRPr="005A6CF2">
        <w:rPr>
          <w:sz w:val="22"/>
        </w:rPr>
        <w:t>Dec 2016/4pm)</w:t>
      </w:r>
    </w:p>
    <w:p w14:paraId="5505EEAB" w14:textId="1ACE4EEA" w:rsidR="00B64D8B" w:rsidRPr="005A6CF2" w:rsidRDefault="00B64D8B" w:rsidP="00E0051F">
      <w:pPr>
        <w:spacing w:line="240" w:lineRule="auto"/>
        <w:ind w:left="720" w:right="1124"/>
        <w:rPr>
          <w:i/>
          <w:sz w:val="22"/>
        </w:rPr>
      </w:pPr>
      <w:r w:rsidRPr="005A6CF2">
        <w:rPr>
          <w:i/>
          <w:sz w:val="22"/>
        </w:rPr>
        <w:t xml:space="preserve">“In reality, for the first and second year of working, I still do not have </w:t>
      </w:r>
      <w:r>
        <w:rPr>
          <w:i/>
          <w:sz w:val="22"/>
        </w:rPr>
        <w:t xml:space="preserve">the </w:t>
      </w:r>
      <w:r w:rsidRPr="005A6CF2">
        <w:rPr>
          <w:i/>
          <w:sz w:val="22"/>
        </w:rPr>
        <w:t>opportunity to own a house due to other commitments such as personal expenses, car loan</w:t>
      </w:r>
      <w:r>
        <w:rPr>
          <w:i/>
          <w:sz w:val="22"/>
        </w:rPr>
        <w:t>,</w:t>
      </w:r>
      <w:r w:rsidRPr="005A6CF2">
        <w:rPr>
          <w:i/>
          <w:sz w:val="22"/>
        </w:rPr>
        <w:t xml:space="preserve"> and study loan. Thus, this become</w:t>
      </w:r>
      <w:r>
        <w:rPr>
          <w:i/>
          <w:sz w:val="22"/>
        </w:rPr>
        <w:t>s the challenge</w:t>
      </w:r>
      <w:r w:rsidRPr="005A6CF2">
        <w:rPr>
          <w:i/>
          <w:sz w:val="22"/>
        </w:rPr>
        <w:t xml:space="preserve"> for me</w:t>
      </w:r>
      <w:r>
        <w:rPr>
          <w:i/>
          <w:sz w:val="22"/>
        </w:rPr>
        <w:t>,</w:t>
      </w:r>
      <w:r w:rsidRPr="005A6CF2">
        <w:rPr>
          <w:i/>
          <w:sz w:val="22"/>
        </w:rPr>
        <w:t xml:space="preserve"> and </w:t>
      </w:r>
      <w:r>
        <w:rPr>
          <w:i/>
          <w:sz w:val="22"/>
        </w:rPr>
        <w:t xml:space="preserve">for </w:t>
      </w:r>
      <w:r w:rsidRPr="005A6CF2">
        <w:rPr>
          <w:i/>
          <w:sz w:val="22"/>
        </w:rPr>
        <w:t>other</w:t>
      </w:r>
      <w:r>
        <w:rPr>
          <w:i/>
          <w:sz w:val="22"/>
        </w:rPr>
        <w:t>s in the</w:t>
      </w:r>
      <w:r w:rsidRPr="005A6CF2">
        <w:rPr>
          <w:i/>
          <w:sz w:val="22"/>
        </w:rPr>
        <w:t xml:space="preserve"> young generation also</w:t>
      </w:r>
      <w:r>
        <w:rPr>
          <w:i/>
          <w:sz w:val="22"/>
        </w:rPr>
        <w:t>,</w:t>
      </w:r>
      <w:r w:rsidRPr="005A6CF2">
        <w:rPr>
          <w:i/>
          <w:sz w:val="22"/>
        </w:rPr>
        <w:t xml:space="preserve"> to have a home within this first few years” </w:t>
      </w:r>
    </w:p>
    <w:p w14:paraId="63291A68" w14:textId="56FDF780" w:rsidR="00B64D8B" w:rsidRPr="005511B4" w:rsidRDefault="00B64D8B" w:rsidP="00E0051F">
      <w:pPr>
        <w:spacing w:line="240" w:lineRule="auto"/>
        <w:ind w:left="1080" w:right="1124"/>
        <w:rPr>
          <w:sz w:val="22"/>
        </w:rPr>
      </w:pPr>
      <w:r w:rsidRPr="005A6CF2">
        <w:rPr>
          <w:sz w:val="22"/>
        </w:rPr>
        <w:t xml:space="preserve">           </w:t>
      </w:r>
      <w:r>
        <w:rPr>
          <w:sz w:val="22"/>
        </w:rPr>
        <w:tab/>
      </w:r>
      <w:r>
        <w:rPr>
          <w:sz w:val="22"/>
        </w:rPr>
        <w:tab/>
      </w:r>
      <w:r>
        <w:rPr>
          <w:sz w:val="22"/>
        </w:rPr>
        <w:tab/>
      </w:r>
      <w:r>
        <w:rPr>
          <w:sz w:val="22"/>
        </w:rPr>
        <w:tab/>
      </w:r>
      <w:r>
        <w:rPr>
          <w:sz w:val="22"/>
        </w:rPr>
        <w:tab/>
        <w:t xml:space="preserve"> </w:t>
      </w:r>
      <w:r w:rsidRPr="005A6CF2">
        <w:rPr>
          <w:sz w:val="22"/>
        </w:rPr>
        <w:t>(Remy/</w:t>
      </w:r>
      <w:r>
        <w:rPr>
          <w:sz w:val="22"/>
        </w:rPr>
        <w:t>18</w:t>
      </w:r>
      <w:r w:rsidRPr="005A6CF2">
        <w:rPr>
          <w:sz w:val="22"/>
        </w:rPr>
        <w:t>Dec 2016/2pm)</w:t>
      </w:r>
    </w:p>
    <w:p w14:paraId="4A27975E" w14:textId="36680412" w:rsidR="00B64D8B" w:rsidRDefault="00B64D8B" w:rsidP="005558E2">
      <w:pPr>
        <w:spacing w:after="0"/>
        <w:ind w:firstLine="720"/>
      </w:pPr>
      <w:r w:rsidRPr="00656B30">
        <w:t>Besides income, the respondents claim</w:t>
      </w:r>
      <w:r>
        <w:t>ed</w:t>
      </w:r>
      <w:r w:rsidRPr="00656B30">
        <w:t xml:space="preserve"> that they faced difficulties </w:t>
      </w:r>
      <w:r>
        <w:t>in</w:t>
      </w:r>
      <w:r w:rsidRPr="00656B30">
        <w:t xml:space="preserve"> own</w:t>
      </w:r>
      <w:r>
        <w:t>ing</w:t>
      </w:r>
      <w:r w:rsidRPr="00656B30">
        <w:t xml:space="preserve"> a house because the housing price</w:t>
      </w:r>
      <w:r>
        <w:t>s</w:t>
      </w:r>
      <w:r w:rsidRPr="00656B30">
        <w:t xml:space="preserve"> in Malaysia </w:t>
      </w:r>
      <w:r>
        <w:t>were</w:t>
      </w:r>
      <w:r w:rsidRPr="00656B30">
        <w:t xml:space="preserve"> too high. As opposed to Ireland, </w:t>
      </w:r>
      <w:r>
        <w:t xml:space="preserve">the </w:t>
      </w:r>
      <w:r w:rsidRPr="00656B30">
        <w:t xml:space="preserve">UK, </w:t>
      </w:r>
      <w:r>
        <w:t xml:space="preserve">the </w:t>
      </w:r>
      <w:r w:rsidRPr="00656B30">
        <w:t>US and our neighbour</w:t>
      </w:r>
      <w:r>
        <w:t>s</w:t>
      </w:r>
      <w:r w:rsidRPr="00656B30">
        <w:t xml:space="preserve">, Thailand and Singapore, Malaysia </w:t>
      </w:r>
      <w:r>
        <w:t>has been</w:t>
      </w:r>
      <w:r w:rsidRPr="00656B30">
        <w:t xml:space="preserve"> reported as one of the countries with high housing price</w:t>
      </w:r>
      <w:r>
        <w:t>s</w:t>
      </w:r>
      <w:r w:rsidRPr="00656B30">
        <w:t xml:space="preserve"> (</w:t>
      </w:r>
      <w:proofErr w:type="spellStart"/>
      <w:r w:rsidRPr="00656B30">
        <w:t>Khazanah</w:t>
      </w:r>
      <w:proofErr w:type="spellEnd"/>
      <w:r w:rsidRPr="00656B30">
        <w:t xml:space="preserve"> Research Institute, 2014). In 2015, the average housing price was RM710, 089 in Kuala Lumpur and RM467, 995 in Selangor. In the Quarter 3 (Q3) 2016, Kuala Lumpur continued to record the highest average housing price (RM772, 126) and secondly</w:t>
      </w:r>
      <w:r>
        <w:t>, was</w:t>
      </w:r>
      <w:r w:rsidRPr="00656B30">
        <w:t xml:space="preserve"> Selangor (RM515, 277), which significantly </w:t>
      </w:r>
      <w:r>
        <w:t xml:space="preserve">had </w:t>
      </w:r>
      <w:r w:rsidRPr="00656B30">
        <w:t xml:space="preserve">increased from the previous year (National Property Information Centre, 2016). </w:t>
      </w:r>
      <w:r w:rsidR="0061579B">
        <w:t xml:space="preserve"> </w:t>
      </w:r>
    </w:p>
    <w:p w14:paraId="4F7107DF" w14:textId="77777777" w:rsidR="005558E2" w:rsidRPr="0061579B" w:rsidRDefault="005558E2" w:rsidP="005558E2">
      <w:pPr>
        <w:spacing w:after="0"/>
        <w:ind w:firstLine="720"/>
      </w:pPr>
    </w:p>
    <w:p w14:paraId="11452F3B" w14:textId="16828950" w:rsidR="00B64D8B" w:rsidRPr="007615E7" w:rsidRDefault="00B64D8B" w:rsidP="005558E2">
      <w:pPr>
        <w:spacing w:after="0"/>
        <w:ind w:firstLine="720"/>
      </w:pPr>
      <w:bookmarkStart w:id="2" w:name="_Hlk7704636"/>
      <w:r w:rsidRPr="00656B30">
        <w:t>The housing price</w:t>
      </w:r>
      <w:r>
        <w:t>s</w:t>
      </w:r>
      <w:r w:rsidRPr="00656B30">
        <w:t xml:space="preserve"> offered in</w:t>
      </w:r>
      <w:r>
        <w:t xml:space="preserve"> the</w:t>
      </w:r>
      <w:r w:rsidRPr="00656B30">
        <w:t xml:space="preserve"> Malaysia</w:t>
      </w:r>
      <w:r>
        <w:t>n</w:t>
      </w:r>
      <w:r w:rsidRPr="00656B30">
        <w:t xml:space="preserve"> real estate market </w:t>
      </w:r>
      <w:r>
        <w:t>have been</w:t>
      </w:r>
      <w:r w:rsidRPr="00656B30">
        <w:t xml:space="preserve"> rated as unaffordable</w:t>
      </w:r>
      <w:r>
        <w:t>,</w:t>
      </w:r>
      <w:r w:rsidRPr="00656B30">
        <w:t xml:space="preserve"> especially in the main towns. For instance, Kuala Lumpur and </w:t>
      </w:r>
      <w:proofErr w:type="spellStart"/>
      <w:r w:rsidRPr="00656B30">
        <w:t>Pulau</w:t>
      </w:r>
      <w:proofErr w:type="spellEnd"/>
      <w:r w:rsidRPr="00656B30">
        <w:t xml:space="preserve"> Pinang were listed as ‘severely unaffordable’ housing markets followed by Johor (severely unaffordable)</w:t>
      </w:r>
      <w:r>
        <w:t>,</w:t>
      </w:r>
      <w:r w:rsidRPr="00656B30">
        <w:t xml:space="preserve"> and Selangor (moderately unaffordable) (</w:t>
      </w:r>
      <w:proofErr w:type="spellStart"/>
      <w:r w:rsidRPr="00656B30">
        <w:t>K</w:t>
      </w:r>
      <w:r w:rsidR="007E0BCC">
        <w:t>hazanah</w:t>
      </w:r>
      <w:proofErr w:type="spellEnd"/>
      <w:r w:rsidR="007E0BCC">
        <w:t xml:space="preserve"> </w:t>
      </w:r>
      <w:r w:rsidRPr="00656B30">
        <w:t>R</w:t>
      </w:r>
      <w:r w:rsidR="007E0BCC">
        <w:t xml:space="preserve">esearch </w:t>
      </w:r>
      <w:r w:rsidRPr="00656B30">
        <w:t>I</w:t>
      </w:r>
      <w:r w:rsidR="007E0BCC">
        <w:t>nstitute</w:t>
      </w:r>
      <w:r w:rsidRPr="00656B30">
        <w:t xml:space="preserve">, 2015). </w:t>
      </w:r>
      <w:bookmarkEnd w:id="2"/>
      <w:r>
        <w:t>This</w:t>
      </w:r>
      <w:r w:rsidRPr="00656B30">
        <w:t xml:space="preserve"> was proven by a study</w:t>
      </w:r>
      <w:r>
        <w:t xml:space="preserve"> conducted by </w:t>
      </w:r>
      <w:proofErr w:type="spellStart"/>
      <w:r>
        <w:t>Zyed</w:t>
      </w:r>
      <w:proofErr w:type="spellEnd"/>
      <w:r>
        <w:t xml:space="preserve"> et al., (2014</w:t>
      </w:r>
      <w:r w:rsidRPr="00656B30">
        <w:t>) among young working households in Malaysia. The results disclosed that young working adults in this country</w:t>
      </w:r>
      <w:r>
        <w:t xml:space="preserve"> were</w:t>
      </w:r>
      <w:r w:rsidRPr="00656B30">
        <w:t xml:space="preserve"> faced with housing challenges related to high housing prices, especially in the urban area</w:t>
      </w:r>
      <w:r>
        <w:t>s</w:t>
      </w:r>
      <w:r w:rsidRPr="00656B30">
        <w:t xml:space="preserve"> which led to limited housing opportunities </w:t>
      </w:r>
      <w:r>
        <w:t>for</w:t>
      </w:r>
      <w:r w:rsidR="007615E7">
        <w:t xml:space="preserve"> the younger generation.</w:t>
      </w:r>
    </w:p>
    <w:p w14:paraId="58E580EB" w14:textId="3FCF9C02" w:rsidR="00B64D8B" w:rsidRPr="007615E7" w:rsidRDefault="00B64D8B" w:rsidP="005558E2">
      <w:pPr>
        <w:spacing w:after="0"/>
        <w:ind w:firstLine="720"/>
      </w:pPr>
      <w:r w:rsidRPr="006C16BE">
        <w:t xml:space="preserve">A similar situation was found in Hong Kong, whereby research was undertaken by Campos, </w:t>
      </w:r>
      <w:proofErr w:type="spellStart"/>
      <w:r w:rsidR="002908F4">
        <w:t>Yiu</w:t>
      </w:r>
      <w:proofErr w:type="spellEnd"/>
      <w:r w:rsidR="002908F4">
        <w:t xml:space="preserve">, Shen, Liao and </w:t>
      </w:r>
      <w:proofErr w:type="spellStart"/>
      <w:r w:rsidR="002908F4">
        <w:t>Maing</w:t>
      </w:r>
      <w:proofErr w:type="spellEnd"/>
      <w:r w:rsidR="002908F4">
        <w:t xml:space="preserve"> (2016</w:t>
      </w:r>
      <w:r w:rsidRPr="006C16BE">
        <w:t>) which discovered that the housing situation in Hong Kong was regarded as unstable and high in housing prices. Housing in Hong Kong for the last five years has been considered ‘severely unaffordable’, thus making the homeownership unattainable by the young people</w:t>
      </w:r>
      <w:r w:rsidR="007615E7">
        <w:t xml:space="preserve"> of M40</w:t>
      </w:r>
      <w:r w:rsidRPr="006C16BE">
        <w:t xml:space="preserve">. </w:t>
      </w:r>
    </w:p>
    <w:p w14:paraId="5BB1000B" w14:textId="10F1A3A5" w:rsidR="00B64D8B" w:rsidRDefault="00B64D8B" w:rsidP="005558E2">
      <w:pPr>
        <w:spacing w:after="0"/>
        <w:ind w:firstLine="720"/>
      </w:pPr>
      <w:r>
        <w:t xml:space="preserve">Similar to Taiwan, the housing prices in Malaysia are skyrocketing, and there is no control of the housing price system in Malaysia. Even worse, the monthly income of the young people is not in tandem with the price of houses offered in the private housing market (Chen, 2011; </w:t>
      </w:r>
      <w:proofErr w:type="spellStart"/>
      <w:r>
        <w:t>Atasya</w:t>
      </w:r>
      <w:proofErr w:type="spellEnd"/>
      <w:r>
        <w:t>,</w:t>
      </w:r>
      <w:r w:rsidR="00BA2E10">
        <w:t xml:space="preserve"> </w:t>
      </w:r>
      <w:proofErr w:type="spellStart"/>
      <w:r w:rsidR="00BA2E10">
        <w:t>Ernawati</w:t>
      </w:r>
      <w:proofErr w:type="spellEnd"/>
      <w:r w:rsidR="00BA2E10">
        <w:t xml:space="preserve">, </w:t>
      </w:r>
      <w:proofErr w:type="spellStart"/>
      <w:r w:rsidR="00BA2E10">
        <w:t>Hasnanywati</w:t>
      </w:r>
      <w:proofErr w:type="spellEnd"/>
      <w:r w:rsidR="00BA2E10">
        <w:t xml:space="preserve"> &amp; </w:t>
      </w:r>
      <w:proofErr w:type="spellStart"/>
      <w:r w:rsidR="00BA2E10">
        <w:t>Hamizah</w:t>
      </w:r>
      <w:proofErr w:type="spellEnd"/>
      <w:r w:rsidR="00BA2E10">
        <w:t xml:space="preserve">, </w:t>
      </w:r>
      <w:r>
        <w:t xml:space="preserve">2015). The situation has led to the incapability of young people to possess a home either through homeownership or renting. For first-time home buyers, the high housing prices have made it difficult for them to own a house, especially in urban areas like the </w:t>
      </w:r>
      <w:proofErr w:type="spellStart"/>
      <w:r>
        <w:t>Klang</w:t>
      </w:r>
      <w:proofErr w:type="spellEnd"/>
      <w:r>
        <w:t xml:space="preserve"> Valley (Tan, 2012). </w:t>
      </w:r>
    </w:p>
    <w:p w14:paraId="443AE446" w14:textId="3284BADF" w:rsidR="00B64D8B" w:rsidRPr="00472933" w:rsidRDefault="00B64D8B" w:rsidP="005558E2">
      <w:pPr>
        <w:spacing w:after="0"/>
        <w:ind w:firstLine="720"/>
      </w:pPr>
      <w:r w:rsidRPr="002F6395">
        <w:t xml:space="preserve">In Malaysia, although young people have stable jobs and income, the increasing price of housing from year to year </w:t>
      </w:r>
      <w:r>
        <w:t xml:space="preserve">has </w:t>
      </w:r>
      <w:r w:rsidRPr="002F6395">
        <w:t xml:space="preserve">made </w:t>
      </w:r>
      <w:r>
        <w:t xml:space="preserve">it </w:t>
      </w:r>
      <w:r w:rsidRPr="002F6395">
        <w:t xml:space="preserve">difficult </w:t>
      </w:r>
      <w:r>
        <w:t xml:space="preserve">for them </w:t>
      </w:r>
      <w:r w:rsidRPr="002F6395">
        <w:t>to buy a house. Nonetheless, some of them prefer to purchase the house before the price increas</w:t>
      </w:r>
      <w:r>
        <w:t>es</w:t>
      </w:r>
      <w:r w:rsidRPr="002F6395">
        <w:t xml:space="preserve"> even though it </w:t>
      </w:r>
      <w:r>
        <w:t xml:space="preserve">will </w:t>
      </w:r>
      <w:r w:rsidRPr="002F6395">
        <w:t>increas</w:t>
      </w:r>
      <w:r w:rsidR="003C7A67">
        <w:t xml:space="preserve">e their financial commitments. </w:t>
      </w:r>
      <w:r w:rsidRPr="002F6395">
        <w:t>In China and other East Asian countries, their pro-homeownership policy has caused other segments to suffer from housing problems</w:t>
      </w:r>
      <w:r>
        <w:t>,</w:t>
      </w:r>
      <w:r w:rsidRPr="002F6395">
        <w:t xml:space="preserve"> including the young civil servants</w:t>
      </w:r>
      <w:r>
        <w:t>,</w:t>
      </w:r>
      <w:r w:rsidRPr="002F6395">
        <w:t xml:space="preserve"> due to the high price of housing in the market (Zhu, 2013; Doling &amp; Ronald, 2010).</w:t>
      </w:r>
    </w:p>
    <w:p w14:paraId="0FEAA050" w14:textId="323F0260" w:rsidR="00B64D8B" w:rsidRPr="001D26D8" w:rsidRDefault="00B64D8B" w:rsidP="005558E2">
      <w:pPr>
        <w:spacing w:after="0"/>
        <w:ind w:firstLine="720"/>
      </w:pPr>
      <w:r w:rsidRPr="001D26D8">
        <w:t>Findings from in-depth interviews confirmed that the high price of housing in the private real estate market has made it difficult for them to have a home. These young people (5 out of 6 respondents) claimed that they faced challenges about the high price of housing. They have perceived that the housing prices available in the Malaysian housing market nowadays is considered as unaffordable and expensive especially in the major towns. Those interviewed explained that:</w:t>
      </w:r>
    </w:p>
    <w:p w14:paraId="3714DFD3" w14:textId="77777777" w:rsidR="00B64D8B" w:rsidRPr="008E3219" w:rsidRDefault="00B64D8B" w:rsidP="00E0051F">
      <w:pPr>
        <w:spacing w:line="240" w:lineRule="auto"/>
        <w:ind w:left="720" w:right="1124"/>
        <w:rPr>
          <w:i/>
          <w:sz w:val="22"/>
        </w:rPr>
      </w:pPr>
      <w:r w:rsidRPr="008E3219">
        <w:rPr>
          <w:i/>
          <w:sz w:val="22"/>
        </w:rPr>
        <w:lastRenderedPageBreak/>
        <w:t xml:space="preserve"> “H</w:t>
      </w:r>
      <w:r>
        <w:rPr>
          <w:i/>
          <w:sz w:val="22"/>
        </w:rPr>
        <w:t>ouses nowadays are</w:t>
      </w:r>
      <w:r w:rsidRPr="008E3219">
        <w:rPr>
          <w:i/>
          <w:sz w:val="22"/>
        </w:rPr>
        <w:t xml:space="preserve"> expensive and</w:t>
      </w:r>
      <w:r>
        <w:rPr>
          <w:i/>
          <w:sz w:val="22"/>
        </w:rPr>
        <w:t xml:space="preserve"> the</w:t>
      </w:r>
      <w:r w:rsidRPr="008E3219">
        <w:rPr>
          <w:i/>
          <w:sz w:val="22"/>
        </w:rPr>
        <w:t xml:space="preserve"> developer seems </w:t>
      </w:r>
      <w:r>
        <w:rPr>
          <w:i/>
          <w:sz w:val="22"/>
        </w:rPr>
        <w:t>to</w:t>
      </w:r>
      <w:r w:rsidRPr="008E3219">
        <w:rPr>
          <w:i/>
          <w:sz w:val="22"/>
        </w:rPr>
        <w:t xml:space="preserve"> not want to reduce the price of the house so that they can make profit out of it. </w:t>
      </w:r>
      <w:r>
        <w:rPr>
          <w:i/>
          <w:sz w:val="22"/>
        </w:rPr>
        <w:t>For y</w:t>
      </w:r>
      <w:r w:rsidRPr="008E3219">
        <w:rPr>
          <w:i/>
          <w:sz w:val="22"/>
        </w:rPr>
        <w:t>oung people like me who have just started working and the salary is not high, plus need</w:t>
      </w:r>
      <w:r>
        <w:rPr>
          <w:i/>
          <w:sz w:val="22"/>
        </w:rPr>
        <w:t>ing</w:t>
      </w:r>
      <w:r w:rsidRPr="008E3219">
        <w:rPr>
          <w:i/>
          <w:sz w:val="22"/>
        </w:rPr>
        <w:t xml:space="preserve"> to bear all the expenses</w:t>
      </w:r>
      <w:r>
        <w:rPr>
          <w:i/>
          <w:sz w:val="22"/>
        </w:rPr>
        <w:t>,</w:t>
      </w:r>
      <w:r w:rsidRPr="008E3219">
        <w:rPr>
          <w:i/>
          <w:sz w:val="22"/>
        </w:rPr>
        <w:t xml:space="preserve"> such as need to p</w:t>
      </w:r>
      <w:r>
        <w:rPr>
          <w:i/>
          <w:sz w:val="22"/>
        </w:rPr>
        <w:t xml:space="preserve">ay house rent, educational loan, </w:t>
      </w:r>
      <w:r w:rsidRPr="008E3219">
        <w:rPr>
          <w:i/>
          <w:sz w:val="22"/>
        </w:rPr>
        <w:t>and transportation costs, it is a challenge for me to save the money to buy a house due to the ridiculous housing price”</w:t>
      </w:r>
    </w:p>
    <w:p w14:paraId="1C348CEC" w14:textId="364AE6C1" w:rsidR="00B64D8B" w:rsidRPr="008E3219" w:rsidRDefault="00B64D8B" w:rsidP="00E0051F">
      <w:pPr>
        <w:spacing w:line="240" w:lineRule="auto"/>
        <w:ind w:left="1170" w:right="1124"/>
        <w:rPr>
          <w:sz w:val="22"/>
        </w:rPr>
      </w:pPr>
      <w:r w:rsidRPr="008E3219">
        <w:rPr>
          <w:sz w:val="22"/>
        </w:rPr>
        <w:tab/>
      </w:r>
      <w:r w:rsidRPr="008E3219">
        <w:rPr>
          <w:sz w:val="22"/>
        </w:rPr>
        <w:tab/>
      </w:r>
      <w:r w:rsidRPr="008E3219">
        <w:rPr>
          <w:sz w:val="22"/>
        </w:rPr>
        <w:tab/>
      </w:r>
      <w:r w:rsidRPr="008E3219">
        <w:rPr>
          <w:sz w:val="22"/>
        </w:rPr>
        <w:tab/>
        <w:t xml:space="preserve">          </w:t>
      </w:r>
      <w:r>
        <w:rPr>
          <w:sz w:val="22"/>
        </w:rPr>
        <w:t xml:space="preserve">     </w:t>
      </w:r>
      <w:r w:rsidRPr="008E3219">
        <w:rPr>
          <w:sz w:val="22"/>
        </w:rPr>
        <w:t>(Anas Mikael/17 Dec 2016/4pm)</w:t>
      </w:r>
    </w:p>
    <w:p w14:paraId="270F07A9" w14:textId="77777777" w:rsidR="00B64D8B" w:rsidRPr="008E3219" w:rsidRDefault="00B64D8B" w:rsidP="00E0051F">
      <w:pPr>
        <w:spacing w:line="240" w:lineRule="auto"/>
        <w:ind w:left="720" w:right="1124"/>
        <w:rPr>
          <w:i/>
          <w:sz w:val="22"/>
        </w:rPr>
      </w:pPr>
      <w:r w:rsidRPr="008E3219">
        <w:rPr>
          <w:i/>
          <w:sz w:val="22"/>
        </w:rPr>
        <w:t xml:space="preserve">“For me, young people in Malaysia cannot afford a house because housing price is not parallel with the average of our salary. I have read somewhere that on average, </w:t>
      </w:r>
      <w:r>
        <w:rPr>
          <w:i/>
          <w:sz w:val="22"/>
        </w:rPr>
        <w:t xml:space="preserve">the </w:t>
      </w:r>
      <w:r w:rsidRPr="008E3219">
        <w:rPr>
          <w:i/>
          <w:sz w:val="22"/>
        </w:rPr>
        <w:t>housing price increase</w:t>
      </w:r>
      <w:r>
        <w:rPr>
          <w:i/>
          <w:sz w:val="22"/>
        </w:rPr>
        <w:t>s</w:t>
      </w:r>
      <w:r w:rsidRPr="008E3219">
        <w:rPr>
          <w:i/>
          <w:sz w:val="22"/>
        </w:rPr>
        <w:t xml:space="preserve"> to 5-15 percent every year while our salary</w:t>
      </w:r>
      <w:r>
        <w:rPr>
          <w:i/>
          <w:sz w:val="22"/>
        </w:rPr>
        <w:t xml:space="preserve"> does not</w:t>
      </w:r>
      <w:r w:rsidRPr="008E3219">
        <w:rPr>
          <w:i/>
          <w:sz w:val="22"/>
        </w:rPr>
        <w:t xml:space="preserve"> increase even to 5 percent every year. So, what I ca</w:t>
      </w:r>
      <w:r>
        <w:rPr>
          <w:i/>
          <w:sz w:val="22"/>
        </w:rPr>
        <w:t>n say is the housing price increase</w:t>
      </w:r>
      <w:r w:rsidRPr="008E3219">
        <w:rPr>
          <w:i/>
          <w:sz w:val="22"/>
        </w:rPr>
        <w:t xml:space="preserve"> more than our salary. For me, the housing price </w:t>
      </w:r>
      <w:r>
        <w:rPr>
          <w:i/>
          <w:sz w:val="22"/>
        </w:rPr>
        <w:t>does not make sense (</w:t>
      </w:r>
      <w:proofErr w:type="spellStart"/>
      <w:r>
        <w:rPr>
          <w:i/>
          <w:sz w:val="22"/>
        </w:rPr>
        <w:t>tak</w:t>
      </w:r>
      <w:proofErr w:type="spellEnd"/>
      <w:r>
        <w:rPr>
          <w:i/>
          <w:sz w:val="22"/>
        </w:rPr>
        <w:t xml:space="preserve"> </w:t>
      </w:r>
      <w:proofErr w:type="spellStart"/>
      <w:r>
        <w:rPr>
          <w:i/>
          <w:sz w:val="22"/>
        </w:rPr>
        <w:t>masuk</w:t>
      </w:r>
      <w:proofErr w:type="spellEnd"/>
      <w:r>
        <w:rPr>
          <w:i/>
          <w:sz w:val="22"/>
        </w:rPr>
        <w:t xml:space="preserve"> </w:t>
      </w:r>
      <w:proofErr w:type="spellStart"/>
      <w:r>
        <w:rPr>
          <w:i/>
          <w:sz w:val="22"/>
        </w:rPr>
        <w:t>akal</w:t>
      </w:r>
      <w:proofErr w:type="spellEnd"/>
      <w:r>
        <w:rPr>
          <w:i/>
          <w:sz w:val="22"/>
        </w:rPr>
        <w:t>). That is the challenge</w:t>
      </w:r>
      <w:r w:rsidRPr="008E3219">
        <w:rPr>
          <w:i/>
          <w:sz w:val="22"/>
        </w:rPr>
        <w:t xml:space="preserve"> that we face either to own or even to rent” </w:t>
      </w:r>
      <w:r w:rsidRPr="008E3219">
        <w:rPr>
          <w:i/>
          <w:sz w:val="22"/>
        </w:rPr>
        <w:tab/>
      </w:r>
      <w:r w:rsidRPr="008E3219">
        <w:rPr>
          <w:i/>
          <w:sz w:val="22"/>
        </w:rPr>
        <w:tab/>
      </w:r>
      <w:r w:rsidRPr="008E3219">
        <w:rPr>
          <w:i/>
          <w:sz w:val="22"/>
        </w:rPr>
        <w:tab/>
      </w:r>
      <w:r w:rsidRPr="008E3219">
        <w:rPr>
          <w:i/>
          <w:sz w:val="22"/>
        </w:rPr>
        <w:tab/>
      </w:r>
      <w:r w:rsidRPr="008E3219">
        <w:rPr>
          <w:i/>
          <w:sz w:val="22"/>
        </w:rPr>
        <w:tab/>
        <w:t xml:space="preserve">         </w:t>
      </w:r>
    </w:p>
    <w:p w14:paraId="1E0FADAE" w14:textId="728357B2" w:rsidR="00B64D8B" w:rsidRPr="008E3219" w:rsidRDefault="00B64D8B" w:rsidP="00E0051F">
      <w:pPr>
        <w:spacing w:line="240" w:lineRule="auto"/>
        <w:ind w:left="1170" w:right="1124"/>
        <w:rPr>
          <w:sz w:val="22"/>
        </w:rPr>
      </w:pPr>
      <w:r w:rsidRPr="008E3219">
        <w:rPr>
          <w:sz w:val="22"/>
        </w:rPr>
        <w:t xml:space="preserve">       </w:t>
      </w:r>
      <w:r w:rsidRPr="008E3219">
        <w:rPr>
          <w:sz w:val="22"/>
        </w:rPr>
        <w:tab/>
      </w:r>
      <w:r w:rsidRPr="008E3219">
        <w:rPr>
          <w:sz w:val="22"/>
        </w:rPr>
        <w:tab/>
      </w:r>
      <w:r w:rsidRPr="008E3219">
        <w:rPr>
          <w:sz w:val="22"/>
        </w:rPr>
        <w:tab/>
      </w:r>
      <w:r w:rsidRPr="008E3219">
        <w:rPr>
          <w:sz w:val="22"/>
        </w:rPr>
        <w:tab/>
        <w:t xml:space="preserve">       </w:t>
      </w:r>
      <w:r>
        <w:rPr>
          <w:sz w:val="22"/>
        </w:rPr>
        <w:t xml:space="preserve">    </w:t>
      </w:r>
      <w:r w:rsidRPr="008E3219">
        <w:rPr>
          <w:sz w:val="22"/>
        </w:rPr>
        <w:t xml:space="preserve">  (Remy/18 Dec 2016/2pm)</w:t>
      </w:r>
    </w:p>
    <w:p w14:paraId="5A86A53B" w14:textId="77777777" w:rsidR="00B64D8B" w:rsidRPr="008E3219" w:rsidRDefault="00B64D8B" w:rsidP="00E0051F">
      <w:pPr>
        <w:spacing w:line="240" w:lineRule="auto"/>
        <w:ind w:left="720" w:right="1124"/>
        <w:rPr>
          <w:i/>
          <w:sz w:val="22"/>
        </w:rPr>
      </w:pPr>
      <w:r w:rsidRPr="008E3219">
        <w:rPr>
          <w:i/>
          <w:sz w:val="22"/>
        </w:rPr>
        <w:t>“In my opinion, one of the big issues facing young people including myself is regarding housing price…because the price imposed by the developer is too high and this make</w:t>
      </w:r>
      <w:r>
        <w:rPr>
          <w:i/>
          <w:sz w:val="22"/>
        </w:rPr>
        <w:t>s</w:t>
      </w:r>
      <w:r w:rsidRPr="008E3219">
        <w:rPr>
          <w:i/>
          <w:sz w:val="22"/>
        </w:rPr>
        <w:t xml:space="preserve"> us unable to buy a house. </w:t>
      </w:r>
      <w:r>
        <w:rPr>
          <w:i/>
          <w:sz w:val="22"/>
        </w:rPr>
        <w:t>The h</w:t>
      </w:r>
      <w:r w:rsidRPr="008E3219">
        <w:rPr>
          <w:i/>
          <w:sz w:val="22"/>
        </w:rPr>
        <w:t>ousing price is one of the big constraints for the young. Even if you want to buy</w:t>
      </w:r>
      <w:r>
        <w:rPr>
          <w:i/>
          <w:sz w:val="22"/>
        </w:rPr>
        <w:t xml:space="preserve"> a</w:t>
      </w:r>
      <w:r w:rsidRPr="008E3219">
        <w:rPr>
          <w:i/>
          <w:sz w:val="22"/>
        </w:rPr>
        <w:t xml:space="preserve"> single-storey house</w:t>
      </w:r>
      <w:r>
        <w:rPr>
          <w:i/>
          <w:sz w:val="22"/>
        </w:rPr>
        <w:t>, it is</w:t>
      </w:r>
      <w:r w:rsidRPr="008E3219">
        <w:rPr>
          <w:i/>
          <w:sz w:val="22"/>
        </w:rPr>
        <w:t xml:space="preserve"> also expensive. That is why for the time being, I </w:t>
      </w:r>
      <w:r>
        <w:rPr>
          <w:i/>
          <w:sz w:val="22"/>
        </w:rPr>
        <w:t xml:space="preserve">have </w:t>
      </w:r>
      <w:r w:rsidRPr="008E3219">
        <w:rPr>
          <w:i/>
          <w:sz w:val="22"/>
        </w:rPr>
        <w:t>decided to rent because I could not afford</w:t>
      </w:r>
      <w:r>
        <w:rPr>
          <w:i/>
          <w:sz w:val="22"/>
        </w:rPr>
        <w:t xml:space="preserve"> to buy</w:t>
      </w:r>
      <w:r w:rsidRPr="008E3219">
        <w:rPr>
          <w:i/>
          <w:sz w:val="22"/>
        </w:rPr>
        <w:t>”</w:t>
      </w:r>
    </w:p>
    <w:p w14:paraId="421779F8" w14:textId="34554598" w:rsidR="00B64D8B" w:rsidRPr="008E3219" w:rsidRDefault="00B64D8B" w:rsidP="00E0051F">
      <w:pPr>
        <w:spacing w:line="240" w:lineRule="auto"/>
        <w:ind w:left="1170" w:right="1124"/>
        <w:rPr>
          <w:sz w:val="22"/>
        </w:rPr>
      </w:pPr>
      <w:r w:rsidRPr="008E3219">
        <w:rPr>
          <w:sz w:val="22"/>
        </w:rPr>
        <w:t xml:space="preserve">       </w:t>
      </w:r>
      <w:r>
        <w:rPr>
          <w:sz w:val="22"/>
        </w:rPr>
        <w:tab/>
      </w:r>
      <w:r>
        <w:rPr>
          <w:sz w:val="22"/>
        </w:rPr>
        <w:tab/>
      </w:r>
      <w:r>
        <w:rPr>
          <w:sz w:val="22"/>
        </w:rPr>
        <w:tab/>
      </w:r>
      <w:r>
        <w:rPr>
          <w:sz w:val="22"/>
        </w:rPr>
        <w:tab/>
        <w:t xml:space="preserve">            </w:t>
      </w:r>
      <w:r w:rsidRPr="008E3219">
        <w:rPr>
          <w:sz w:val="22"/>
        </w:rPr>
        <w:t>(Myra/</w:t>
      </w:r>
      <w:r>
        <w:rPr>
          <w:sz w:val="22"/>
        </w:rPr>
        <w:t xml:space="preserve">18 </w:t>
      </w:r>
      <w:r w:rsidRPr="008E3219">
        <w:rPr>
          <w:sz w:val="22"/>
        </w:rPr>
        <w:t>Nov 2016/12pm)</w:t>
      </w:r>
    </w:p>
    <w:p w14:paraId="19AF091F" w14:textId="77777777" w:rsidR="00B64D8B" w:rsidRPr="008E3219" w:rsidRDefault="00B64D8B" w:rsidP="00E0051F">
      <w:pPr>
        <w:spacing w:line="240" w:lineRule="auto"/>
        <w:ind w:left="720" w:right="1124"/>
        <w:rPr>
          <w:i/>
          <w:sz w:val="22"/>
        </w:rPr>
      </w:pPr>
      <w:r w:rsidRPr="008E3219">
        <w:rPr>
          <w:i/>
          <w:sz w:val="22"/>
        </w:rPr>
        <w:t xml:space="preserve">“I don’t understand why the housing price is so expensive. It looks like I cannot afford </w:t>
      </w:r>
      <w:r>
        <w:rPr>
          <w:i/>
          <w:sz w:val="22"/>
        </w:rPr>
        <w:t>any</w:t>
      </w:r>
      <w:r w:rsidRPr="008E3219">
        <w:rPr>
          <w:i/>
          <w:sz w:val="22"/>
        </w:rPr>
        <w:t xml:space="preserve"> of the house</w:t>
      </w:r>
      <w:r>
        <w:rPr>
          <w:i/>
          <w:sz w:val="22"/>
        </w:rPr>
        <w:t>s</w:t>
      </w:r>
      <w:r w:rsidRPr="008E3219">
        <w:rPr>
          <w:i/>
          <w:sz w:val="22"/>
        </w:rPr>
        <w:t xml:space="preserve"> in the market. There are many housing projects. But when I look at the price, I feel frustrated. </w:t>
      </w:r>
      <w:proofErr w:type="spellStart"/>
      <w:r w:rsidRPr="008E3219">
        <w:rPr>
          <w:i/>
          <w:sz w:val="22"/>
        </w:rPr>
        <w:t>Mmmm</w:t>
      </w:r>
      <w:proofErr w:type="spellEnd"/>
      <w:r w:rsidRPr="008E3219">
        <w:rPr>
          <w:i/>
          <w:sz w:val="22"/>
        </w:rPr>
        <w:t>...actually, there are houses that I can afford, but you see…it is located at remote area, far from my office”</w:t>
      </w:r>
    </w:p>
    <w:p w14:paraId="1EB8CBE9" w14:textId="33C842D9" w:rsidR="00B64D8B" w:rsidRPr="008E3219" w:rsidRDefault="00B64D8B" w:rsidP="00E0051F">
      <w:pPr>
        <w:spacing w:line="240" w:lineRule="auto"/>
        <w:ind w:left="4320" w:right="1124"/>
        <w:rPr>
          <w:sz w:val="22"/>
        </w:rPr>
      </w:pPr>
      <w:r w:rsidRPr="008E3219">
        <w:rPr>
          <w:sz w:val="22"/>
        </w:rPr>
        <w:t xml:space="preserve">     (Christina /</w:t>
      </w:r>
      <w:r>
        <w:rPr>
          <w:sz w:val="22"/>
        </w:rPr>
        <w:t>10 Dec</w:t>
      </w:r>
      <w:r w:rsidRPr="008E3219">
        <w:rPr>
          <w:sz w:val="22"/>
        </w:rPr>
        <w:t xml:space="preserve"> 2016/10am)</w:t>
      </w:r>
    </w:p>
    <w:p w14:paraId="32737C24" w14:textId="77777777" w:rsidR="00B64D8B" w:rsidRPr="008E3219" w:rsidRDefault="00B64D8B" w:rsidP="00E0051F">
      <w:pPr>
        <w:spacing w:line="240" w:lineRule="auto"/>
        <w:ind w:left="720" w:right="1124"/>
        <w:rPr>
          <w:i/>
          <w:sz w:val="22"/>
        </w:rPr>
      </w:pPr>
      <w:r w:rsidRPr="008E3219">
        <w:rPr>
          <w:i/>
          <w:sz w:val="22"/>
        </w:rPr>
        <w:t>“The main challenge is regarding</w:t>
      </w:r>
      <w:r>
        <w:rPr>
          <w:i/>
          <w:sz w:val="22"/>
        </w:rPr>
        <w:t xml:space="preserve"> the</w:t>
      </w:r>
      <w:r w:rsidRPr="008E3219">
        <w:rPr>
          <w:i/>
          <w:sz w:val="22"/>
        </w:rPr>
        <w:t xml:space="preserve"> housing price. The price is so ridiculous especially in the city centres. But </w:t>
      </w:r>
      <w:r>
        <w:rPr>
          <w:i/>
          <w:sz w:val="22"/>
        </w:rPr>
        <w:t xml:space="preserve">in </w:t>
      </w:r>
      <w:r w:rsidRPr="008E3219">
        <w:rPr>
          <w:i/>
          <w:sz w:val="22"/>
        </w:rPr>
        <w:t>other place</w:t>
      </w:r>
      <w:r>
        <w:rPr>
          <w:i/>
          <w:sz w:val="22"/>
        </w:rPr>
        <w:t>s</w:t>
      </w:r>
      <w:r w:rsidRPr="008E3219">
        <w:rPr>
          <w:i/>
          <w:sz w:val="22"/>
        </w:rPr>
        <w:t xml:space="preserve"> like Cyberjaya, the housing price is </w:t>
      </w:r>
      <w:r>
        <w:rPr>
          <w:i/>
          <w:sz w:val="22"/>
        </w:rPr>
        <w:t xml:space="preserve">even </w:t>
      </w:r>
      <w:r w:rsidRPr="008E3219">
        <w:rPr>
          <w:i/>
          <w:sz w:val="22"/>
        </w:rPr>
        <w:t xml:space="preserve">more expensive than KL. In Cyberjaya, </w:t>
      </w:r>
      <w:r>
        <w:rPr>
          <w:i/>
          <w:sz w:val="22"/>
        </w:rPr>
        <w:t xml:space="preserve">the </w:t>
      </w:r>
      <w:r w:rsidRPr="008E3219">
        <w:rPr>
          <w:i/>
          <w:sz w:val="22"/>
        </w:rPr>
        <w:t>average monthly rental is around RM1000 to RM1500 for one unit of condo</w:t>
      </w:r>
      <w:r>
        <w:rPr>
          <w:i/>
          <w:sz w:val="22"/>
        </w:rPr>
        <w:t>minium. So, imagine the price</w:t>
      </w:r>
      <w:r w:rsidRPr="008E3219">
        <w:rPr>
          <w:i/>
          <w:sz w:val="22"/>
        </w:rPr>
        <w:t xml:space="preserve">” </w:t>
      </w:r>
    </w:p>
    <w:p w14:paraId="0928CBF4" w14:textId="1B94495A" w:rsidR="00B64D8B" w:rsidRPr="0044437F" w:rsidRDefault="00B64D8B" w:rsidP="00E0051F">
      <w:pPr>
        <w:spacing w:before="240" w:line="240" w:lineRule="auto"/>
        <w:ind w:left="4320" w:right="1124" w:firstLine="720"/>
        <w:rPr>
          <w:sz w:val="22"/>
        </w:rPr>
      </w:pPr>
      <w:r>
        <w:rPr>
          <w:sz w:val="22"/>
        </w:rPr>
        <w:t xml:space="preserve">   </w:t>
      </w:r>
      <w:r w:rsidRPr="008E3219">
        <w:rPr>
          <w:sz w:val="22"/>
        </w:rPr>
        <w:t>(Tan /Oct 2016/4.30pm)</w:t>
      </w:r>
    </w:p>
    <w:p w14:paraId="7D24F926" w14:textId="1FF00C87" w:rsidR="00B64D8B" w:rsidRPr="00242AB8" w:rsidRDefault="00B64D8B" w:rsidP="005558E2">
      <w:pPr>
        <w:spacing w:after="0"/>
        <w:ind w:firstLine="720"/>
      </w:pPr>
      <w:r w:rsidRPr="00F40C35">
        <w:t xml:space="preserve">The above findings revealed that the housing price has become their main challenges in their pursuit of adequate housing. These people cited that they faced hardships to own a house due to the unaffordable price, especially in major towns in the </w:t>
      </w:r>
      <w:proofErr w:type="spellStart"/>
      <w:r w:rsidRPr="00F40C35">
        <w:t>Klang</w:t>
      </w:r>
      <w:proofErr w:type="spellEnd"/>
      <w:r w:rsidRPr="00F40C35">
        <w:t xml:space="preserve"> Valley. Young people, the majority of them being first-time home buyers, faced  difficulties to own a high priced home due to their limited financial capability and economic uncertainties </w:t>
      </w:r>
      <w:r w:rsidRPr="00F40C35">
        <w:fldChar w:fldCharType="begin" w:fldLock="1"/>
      </w:r>
      <w:r w:rsidR="00742691">
        <w:instrText>ADDIN CSL_CITATION {"citationItems":[{"id":"ITEM-1","itemData":{"DOI":"10.1016/j.cities.2011.11.016","ISBN":"0264-2751","ISSN":"02642751","PMID":"82429023","abstract":"High housing prices in Greater Kuala Lumpur have made it difficult for potential first-time homebuyers to own a house. As a result, affordable housing schemes were introduced recently to assist potential homeowners. The Malaysian government has launched many kinds of public low-cost housing schemes; however, many housing projects resulting from these schemes have turned into slums that do not provide a wholesome environment for families. To avoid building more slums and to provide more benefits for young buyers, the goal of this paper is to determine the correct housing attributes required for first-time homebuyers in the urban area. Three hundred questionnaires were distributed to young Malaysians in Greater Kuala Lumpur (KL), and 265 questionnaires were returned. The responses to the questionnaire revealed that accessibility and neighborhood environment play a role in the decision to own. It can also be observed that ecologically friendly homes that embrace sustainability are important considerations for prospective homebuyers. ?? 2011 Elsevier Ltd.","author":[{"dropping-particle":"","family":"Tan","given":"Teck Hong","non-dropping-particle":"","parse-names":false,"suffix":""}],"container-title":"Cities","id":"ITEM-1","issue":"6","issued":{"date-parts":[["2012"]]},"page":"389-396","publisher":"Elsevier Ltd","title":"Meeting first-time buyers' housing needs and preferences in greater Kuala Lumpur","type":"article-journal","volume":"29"},"uris":["http://www.mendeley.com/documents/?uuid=0f316016-3119-4635-b0ce-a8abcb835e79"]},{"id":"ITEM-2","itemData":{"author":[{"dropping-particle":"","family":"Lee","given":"Sung-jin","non-dropping-particle":"","parse-names":false,"suffix":""},{"dropping-particle":"","family":"Parrott","given":"Kathleen R","non-dropping-particle":"","parse-names":false,"suffix":""},{"dropping-particle":"","family":"Ahn","given":"Mira","non-dropping-particle":"","parse-names":false,"suffix":""}],"container-title":"American Housing Survey User Conference","id":"ITEM-2","issue":"1","issued":{"date-parts":[["2012"]]},"page":"73-98","title":"Exploring Housing Challenges of Low-Income Minorities in the Southern United States","type":"article-journal","volume":"14"},"uris":["http://www.mendeley.com/documents/?uuid=b1e994c2-4af6-4e7a-8790-de8b1da1cc31"]}],"mendeley":{"formattedCitation":"(Lee et al., 2012; Tan, 2012)","manualFormatting":"(Lee, Parrot &amp; Ahn, 2012; Tan, 2012)","plainTextFormattedCitation":"(Lee et al., 2012; Tan, 2012)","previouslyFormattedCitation":"(Lee et al., 2012; Tan, 2012)"},"properties":{"noteIndex":0},"schema":"https://github.com/citation-style-language/schema/raw/master/csl-citation.json"}</w:instrText>
      </w:r>
      <w:r w:rsidRPr="00F40C35">
        <w:fldChar w:fldCharType="separate"/>
      </w:r>
      <w:r w:rsidRPr="00F40C35">
        <w:rPr>
          <w:noProof/>
        </w:rPr>
        <w:t>(Lee,</w:t>
      </w:r>
      <w:r w:rsidR="00BD6A9B">
        <w:rPr>
          <w:noProof/>
        </w:rPr>
        <w:t xml:space="preserve"> Parrot &amp; Ahn,</w:t>
      </w:r>
      <w:r w:rsidRPr="00F40C35">
        <w:rPr>
          <w:noProof/>
        </w:rPr>
        <w:t xml:space="preserve"> 2012; Tan, 2012)</w:t>
      </w:r>
      <w:r w:rsidRPr="00F40C35">
        <w:fldChar w:fldCharType="end"/>
      </w:r>
      <w:r w:rsidRPr="00F40C35">
        <w:t xml:space="preserve">. Research conducted by </w:t>
      </w:r>
      <w:r w:rsidRPr="00F40C35">
        <w:fldChar w:fldCharType="begin" w:fldLock="1"/>
      </w:r>
      <w:r w:rsidRPr="00F40C35">
        <w:instrText>ADDIN CSL_CITATION { "citationItems" : [ { "id" : "ITEM-1", "itemData" : { "ISBN" : "9789671292921", "author" : [ { "dropping-particle" : "", "family" : "Khazanah Research Institute", "given" : "", "non-dropping-particle" : "", "parse-names" : false, "suffix" : "" } ], "id" : "ITEM-1", "issued" : { "date-parts" : [ [ "2015" ] ] }, "publisher-place" : "Kuala Lumpur", "title" : "Making housing affordable", "type" : "report" }, "uris" : [ "http://www.mendeley.com/documents/?uuid=895c8d22-5824-46e4-9459-47102bd5c4ef" ] } ], "mendeley" : { "formattedCitation" : "(Khazanah Research Institute, 2015)", "manualFormatting" : "KRI (2015)", "plainTextFormattedCitation" : "(Khazanah Research Institute, 2015)", "previouslyFormattedCitation" : "(Khazanah Research Institute, 2015)" }, "properties" : { "noteIndex" : 0 }, "schema" : "https://github.com/citation-style-language/schema/raw/master/csl-citation.json" }</w:instrText>
      </w:r>
      <w:r w:rsidRPr="00F40C35">
        <w:fldChar w:fldCharType="separate"/>
      </w:r>
      <w:r w:rsidRPr="00F40C35">
        <w:rPr>
          <w:noProof/>
        </w:rPr>
        <w:t>KRI (2015)</w:t>
      </w:r>
      <w:r w:rsidRPr="00F40C35">
        <w:fldChar w:fldCharType="end"/>
      </w:r>
      <w:r w:rsidRPr="00F40C35">
        <w:t xml:space="preserve"> reported that in 2014, there were no properties launched below RM250,000 as the majority of the houses were launched at RM500,000 to 1million which is beyond the young people’s affordability level.</w:t>
      </w:r>
    </w:p>
    <w:p w14:paraId="16AC4123" w14:textId="16B979E1" w:rsidR="00E1252C" w:rsidRDefault="00B8136F" w:rsidP="005558E2">
      <w:pPr>
        <w:pStyle w:val="Heading2"/>
        <w:spacing w:before="0"/>
      </w:pPr>
      <w:r w:rsidRPr="005511B4">
        <w:lastRenderedPageBreak/>
        <w:t>Conclusion</w:t>
      </w:r>
    </w:p>
    <w:p w14:paraId="0DB88840" w14:textId="58461718" w:rsidR="005558E2" w:rsidRDefault="00EC212C" w:rsidP="005558E2">
      <w:pPr>
        <w:spacing w:after="0"/>
      </w:pPr>
      <w:r>
        <w:t xml:space="preserve">Based on the combination method of research approach, this article </w:t>
      </w:r>
      <w:r w:rsidR="00E3050C">
        <w:t xml:space="preserve">presented the challenges faced by the young people in Malaysia in their pursuit of adequate housing. </w:t>
      </w:r>
      <w:r w:rsidR="007B2D54">
        <w:t xml:space="preserve">The results showed that </w:t>
      </w:r>
      <w:r w:rsidR="00A92C3A">
        <w:t>i</w:t>
      </w:r>
      <w:r w:rsidR="007B2D54" w:rsidRPr="004B7338">
        <w:t xml:space="preserve">n </w:t>
      </w:r>
      <w:r w:rsidR="004B5535">
        <w:t>seeking for a decent and appropriate living arrangement,</w:t>
      </w:r>
      <w:r w:rsidR="007B2D54" w:rsidRPr="004B7338">
        <w:t xml:space="preserve"> particularly to homeownership, </w:t>
      </w:r>
      <w:r w:rsidR="007B2D54">
        <w:t xml:space="preserve">young people faced </w:t>
      </w:r>
      <w:r w:rsidR="007B2D54" w:rsidRPr="004B7338">
        <w:t xml:space="preserve">with </w:t>
      </w:r>
      <w:r w:rsidR="00A92C3A">
        <w:t>two</w:t>
      </w:r>
      <w:r w:rsidR="007B2D54" w:rsidRPr="004B7338">
        <w:t xml:space="preserve"> main c</w:t>
      </w:r>
      <w:r w:rsidR="00A92C3A">
        <w:t>hallenges related to structural and</w:t>
      </w:r>
      <w:r w:rsidR="007B2D54" w:rsidRPr="004B7338">
        <w:t xml:space="preserve"> economic aspects. They </w:t>
      </w:r>
      <w:r w:rsidR="007B2D54">
        <w:t xml:space="preserve">have </w:t>
      </w:r>
      <w:r w:rsidR="007B2D54" w:rsidRPr="004B7338">
        <w:t xml:space="preserve">claimed that </w:t>
      </w:r>
      <w:r w:rsidR="00A92C3A" w:rsidRPr="004B7338">
        <w:t xml:space="preserve">they </w:t>
      </w:r>
      <w:r w:rsidR="00A92C3A">
        <w:t xml:space="preserve">are </w:t>
      </w:r>
      <w:r w:rsidR="00A92C3A" w:rsidRPr="004B7338">
        <w:t>struggl</w:t>
      </w:r>
      <w:r w:rsidR="00A92C3A">
        <w:t xml:space="preserve">ing </w:t>
      </w:r>
      <w:r w:rsidR="00A92C3A" w:rsidRPr="004B7338">
        <w:t xml:space="preserve">to secure the financing from the financial institutions due to the stricter eligibility rules imposed by this sector. The situation has led them to the problem </w:t>
      </w:r>
      <w:r w:rsidR="00A92C3A">
        <w:t xml:space="preserve">of </w:t>
      </w:r>
      <w:r w:rsidR="00A92C3A" w:rsidRPr="004B7338">
        <w:t xml:space="preserve">accessing </w:t>
      </w:r>
      <w:r w:rsidR="00A92C3A">
        <w:t xml:space="preserve">the </w:t>
      </w:r>
      <w:r w:rsidR="00A92C3A" w:rsidRPr="004B7338">
        <w:t>mortgage financing due to the lack of available credits among them. Results also reveal</w:t>
      </w:r>
      <w:r w:rsidR="00A92C3A">
        <w:t xml:space="preserve"> </w:t>
      </w:r>
      <w:r w:rsidR="00A92C3A" w:rsidRPr="004B7338">
        <w:t xml:space="preserve">that the shortage of affordable housing </w:t>
      </w:r>
      <w:r w:rsidR="00A92C3A">
        <w:t xml:space="preserve">has </w:t>
      </w:r>
      <w:r w:rsidR="00A92C3A" w:rsidRPr="004B7338">
        <w:t xml:space="preserve">made their housing opportunities even limited and their transition to independent living is much difficult. </w:t>
      </w:r>
    </w:p>
    <w:p w14:paraId="04F6740C" w14:textId="64C0E5B5" w:rsidR="007B2D54" w:rsidRDefault="00A92C3A" w:rsidP="005558E2">
      <w:pPr>
        <w:spacing w:after="0"/>
        <w:ind w:firstLine="720"/>
      </w:pPr>
      <w:r w:rsidRPr="004B7338">
        <w:t xml:space="preserve">Many of the housing developments in this country </w:t>
      </w:r>
      <w:r>
        <w:t xml:space="preserve">are </w:t>
      </w:r>
      <w:r w:rsidRPr="004B7338">
        <w:t>focus</w:t>
      </w:r>
      <w:r>
        <w:t xml:space="preserve">ing </w:t>
      </w:r>
      <w:r w:rsidRPr="004B7338">
        <w:t>towards the high properties and neglect</w:t>
      </w:r>
      <w:r>
        <w:t xml:space="preserve">ing </w:t>
      </w:r>
      <w:r w:rsidRPr="004B7338">
        <w:t xml:space="preserve">the needs of affordable housing development. In Selangor and Kuala Lumpur, the average housing price in Q4 2016 </w:t>
      </w:r>
      <w:r>
        <w:t xml:space="preserve">has been </w:t>
      </w:r>
      <w:r w:rsidRPr="004B7338">
        <w:t>recorded more than RM500,000 compared to the affordable segment of RM 250,000 to RM450,000 (</w:t>
      </w:r>
      <w:r>
        <w:t>KRI</w:t>
      </w:r>
      <w:r w:rsidRPr="004B7338">
        <w:t>, 2015; National Pr</w:t>
      </w:r>
      <w:r>
        <w:t>operty Information Centre, 201</w:t>
      </w:r>
      <w:r w:rsidR="002464E5">
        <w:t>6</w:t>
      </w:r>
      <w:r w:rsidRPr="004B7338">
        <w:t xml:space="preserve">). As a result, many of young people continue to suffer </w:t>
      </w:r>
      <w:r>
        <w:t xml:space="preserve">because of </w:t>
      </w:r>
      <w:r w:rsidRPr="004B7338">
        <w:t>higher loan instalment which eventually leads to housing stress among them.</w:t>
      </w:r>
      <w:r w:rsidR="004D5FCB">
        <w:t xml:space="preserve"> </w:t>
      </w:r>
      <w:r w:rsidR="007B2D54" w:rsidRPr="004B7338">
        <w:t xml:space="preserve">As the majority of them are young and at their early </w:t>
      </w:r>
      <w:r w:rsidR="007B2D54">
        <w:t xml:space="preserve">stage of their </w:t>
      </w:r>
      <w:r w:rsidR="007B2D54" w:rsidRPr="004B7338">
        <w:t xml:space="preserve">career, their income </w:t>
      </w:r>
      <w:r w:rsidR="007B2D54">
        <w:t xml:space="preserve">is </w:t>
      </w:r>
      <w:r w:rsidR="007B2D54" w:rsidRPr="004B7338">
        <w:t>insufficient to save for the housing deposits and made them turn to their family members f</w:t>
      </w:r>
      <w:r w:rsidR="007B2D54">
        <w:t xml:space="preserve">or the down-payment assistance. </w:t>
      </w:r>
      <w:r w:rsidR="007B2D54" w:rsidRPr="004B7338">
        <w:t xml:space="preserve">The current cost of living and high price of accommodation </w:t>
      </w:r>
      <w:r w:rsidR="007B2D54">
        <w:t xml:space="preserve">have </w:t>
      </w:r>
      <w:r w:rsidR="007B2D54" w:rsidRPr="004B7338">
        <w:t>made their pursuit to independent living remain</w:t>
      </w:r>
      <w:r w:rsidR="007B2D54">
        <w:t>s</w:t>
      </w:r>
      <w:r w:rsidR="006B653C">
        <w:t xml:space="preserve"> longer.</w:t>
      </w:r>
    </w:p>
    <w:p w14:paraId="4940124A" w14:textId="7D63F844" w:rsidR="00686CF9" w:rsidRDefault="00DE7BD4" w:rsidP="005558E2">
      <w:pPr>
        <w:spacing w:after="0"/>
        <w:ind w:firstLine="720"/>
        <w:rPr>
          <w:rFonts w:eastAsia="Times New Roman" w:cs="Times New Roman"/>
          <w:lang w:val="en-GB"/>
        </w:rPr>
      </w:pPr>
      <w:r w:rsidRPr="00686CF9">
        <w:rPr>
          <w:rFonts w:eastAsia="Times New Roman" w:cs="Times New Roman"/>
        </w:rPr>
        <w:t xml:space="preserve">The study offers </w:t>
      </w:r>
      <w:r w:rsidR="00055AA3" w:rsidRPr="00686CF9">
        <w:rPr>
          <w:rFonts w:eastAsia="Times New Roman" w:cs="Times New Roman"/>
        </w:rPr>
        <w:t>several interventions possibly be made to minimise the challenges facing this group</w:t>
      </w:r>
      <w:r>
        <w:rPr>
          <w:rFonts w:eastAsia="Times New Roman" w:cs="Times New Roman"/>
        </w:rPr>
        <w:t xml:space="preserve">. First, </w:t>
      </w:r>
      <w:r w:rsidR="006A3CE6" w:rsidRPr="006A3CE6">
        <w:rPr>
          <w:rFonts w:eastAsia="Times New Roman" w:cs="Times New Roman"/>
          <w:lang w:val="en-GB"/>
        </w:rPr>
        <w:t xml:space="preserve">the government needs to review the eligibility rules for loan financing. It can be done with the participation from the government together with banking institutions and housing developers to come out with other alternatives of eligibility rules. The finding reveals that strict eligibility rules as one of the challenges faced by the young people in their pursuit of adequate housing. They are confronted with difficulties to secure a loan due to insufficient income, poor credit and strict lending rules from banks. As such, revising the lending rules or relaxing the rules for housing is needed to enable them to access housing financing.  </w:t>
      </w:r>
      <w:r w:rsidR="006A3CE6" w:rsidRPr="005234BD">
        <w:rPr>
          <w:lang w:eastAsia="ms-MY"/>
        </w:rPr>
        <w:t xml:space="preserve">Second, the government may control the housing price for all affordable houses through a price control policy. At present, the price of accommodation in the private market is determined by the private developers, and the increment </w:t>
      </w:r>
      <w:r w:rsidR="006A3CE6">
        <w:rPr>
          <w:lang w:eastAsia="ms-MY"/>
        </w:rPr>
        <w:t xml:space="preserve">is </w:t>
      </w:r>
      <w:r w:rsidR="006A3CE6" w:rsidRPr="005234BD">
        <w:rPr>
          <w:lang w:eastAsia="ms-MY"/>
        </w:rPr>
        <w:t xml:space="preserve">exorbitant. Thus, this study suggests the government regulate a policy </w:t>
      </w:r>
      <w:r w:rsidR="006A3CE6">
        <w:rPr>
          <w:lang w:eastAsia="ms-MY"/>
        </w:rPr>
        <w:t xml:space="preserve">to </w:t>
      </w:r>
      <w:r w:rsidR="006A3CE6" w:rsidRPr="005234BD">
        <w:rPr>
          <w:lang w:eastAsia="ms-MY"/>
        </w:rPr>
        <w:t>control</w:t>
      </w:r>
      <w:r w:rsidR="006A3CE6">
        <w:rPr>
          <w:lang w:eastAsia="ms-MY"/>
        </w:rPr>
        <w:t xml:space="preserve"> </w:t>
      </w:r>
      <w:r w:rsidR="006A3CE6" w:rsidRPr="005234BD">
        <w:rPr>
          <w:lang w:eastAsia="ms-MY"/>
        </w:rPr>
        <w:t xml:space="preserve">the price of affordable housing in the market. </w:t>
      </w:r>
      <w:r w:rsidR="00224164">
        <w:rPr>
          <w:lang w:eastAsia="ms-MY"/>
        </w:rPr>
        <w:t>Third</w:t>
      </w:r>
      <w:r w:rsidR="006A3CE6" w:rsidRPr="005234BD">
        <w:rPr>
          <w:lang w:eastAsia="ms-MY"/>
        </w:rPr>
        <w:t>, specific rules may be set up to assist young people concerning housing deposits.</w:t>
      </w:r>
      <w:r w:rsidR="006A3CE6" w:rsidRPr="006A3CE6">
        <w:rPr>
          <w:rFonts w:eastAsia="Calibri" w:cs="Arial"/>
          <w:lang w:val="en-GB" w:eastAsia="ms-MY"/>
        </w:rPr>
        <w:t xml:space="preserve"> </w:t>
      </w:r>
      <w:r w:rsidR="00686CF9">
        <w:rPr>
          <w:rFonts w:eastAsia="Calibri" w:cs="Arial"/>
          <w:lang w:val="en-GB" w:eastAsia="ms-MY"/>
        </w:rPr>
        <w:t>T</w:t>
      </w:r>
      <w:r w:rsidR="006A3CE6" w:rsidRPr="006A3CE6">
        <w:rPr>
          <w:rFonts w:eastAsia="Calibri" w:cs="Arial"/>
          <w:lang w:val="en-GB" w:eastAsia="ms-MY"/>
        </w:rPr>
        <w:t xml:space="preserve">his study </w:t>
      </w:r>
      <w:r w:rsidR="006A3CE6" w:rsidRPr="006A3CE6">
        <w:rPr>
          <w:rFonts w:eastAsia="Calibri" w:cs="Arial"/>
          <w:lang w:val="en-GB" w:eastAsia="ms-MY"/>
        </w:rPr>
        <w:lastRenderedPageBreak/>
        <w:t>suggests revising the percentage so that more young people can afford to pay. Instead of imposing a 10 percent housing deposit, the percentage can be revised to 2.5 to 5 percent.</w:t>
      </w:r>
      <w:r w:rsidR="00224164">
        <w:rPr>
          <w:rFonts w:eastAsia="Times New Roman" w:cs="Times New Roman"/>
          <w:lang w:val="en-GB"/>
        </w:rPr>
        <w:t xml:space="preserve"> </w:t>
      </w:r>
    </w:p>
    <w:p w14:paraId="797EB343" w14:textId="2DA2026D" w:rsidR="00055AA3" w:rsidRPr="00224164" w:rsidRDefault="00224164" w:rsidP="00914E87">
      <w:pPr>
        <w:spacing w:after="0"/>
        <w:ind w:firstLine="720"/>
        <w:rPr>
          <w:rFonts w:eastAsia="Times New Roman" w:cs="Times New Roman"/>
          <w:lang w:val="en-GB"/>
        </w:rPr>
      </w:pPr>
      <w:r>
        <w:rPr>
          <w:rFonts w:eastAsia="Times New Roman" w:cs="Times New Roman"/>
        </w:rPr>
        <w:t>Fourth</w:t>
      </w:r>
      <w:r w:rsidR="006A3CE6" w:rsidRPr="00A16DF8">
        <w:rPr>
          <w:rFonts w:eastAsia="Times New Roman" w:cs="Times New Roman"/>
        </w:rPr>
        <w:t xml:space="preserve">, housing providers need to offer more choices in term of housing availability targeted to every single social </w:t>
      </w:r>
      <w:r w:rsidR="006A3CE6" w:rsidRPr="00A16DF8">
        <w:rPr>
          <w:rFonts w:eastAsia="Times New Roman" w:cs="Times New Roman"/>
          <w:noProof/>
        </w:rPr>
        <w:t>group</w:t>
      </w:r>
      <w:r w:rsidR="006A3CE6" w:rsidRPr="00A16DF8">
        <w:rPr>
          <w:rFonts w:eastAsia="Times New Roman" w:cs="Times New Roman"/>
        </w:rPr>
        <w:t xml:space="preserve"> which </w:t>
      </w:r>
      <w:r w:rsidR="006A3CE6" w:rsidRPr="00A16DF8">
        <w:rPr>
          <w:rFonts w:eastAsia="Times New Roman" w:cs="Times New Roman"/>
          <w:noProof/>
        </w:rPr>
        <w:t>is</w:t>
      </w:r>
      <w:r w:rsidR="006A3CE6" w:rsidRPr="00A16DF8">
        <w:rPr>
          <w:rFonts w:eastAsia="Times New Roman" w:cs="Times New Roman"/>
        </w:rPr>
        <w:t xml:space="preserve"> more inclusive</w:t>
      </w:r>
      <w:r>
        <w:rPr>
          <w:rFonts w:eastAsia="Times New Roman" w:cs="Times New Roman"/>
        </w:rPr>
        <w:t xml:space="preserve">. </w:t>
      </w:r>
      <w:r w:rsidR="00686CF9">
        <w:rPr>
          <w:rFonts w:eastAsia="Times New Roman" w:cs="Times New Roman"/>
          <w:lang w:val="en-GB"/>
        </w:rPr>
        <w:t xml:space="preserve">As findings showed that there was a shortage of affordable housing, </w:t>
      </w:r>
      <w:r w:rsidR="00686CF9">
        <w:rPr>
          <w:rFonts w:eastAsia="Calibri" w:cs="Arial"/>
          <w:lang w:val="en-GB"/>
        </w:rPr>
        <w:t>t</w:t>
      </w:r>
      <w:r w:rsidR="00686CF9" w:rsidRPr="00686CF9">
        <w:rPr>
          <w:rFonts w:eastAsia="Calibri" w:cs="Arial"/>
          <w:lang w:val="en-GB"/>
        </w:rPr>
        <w:t>he government may encourage urban development outside the cities to minimise the issues of overcrowding and upscaling housing development.</w:t>
      </w:r>
      <w:r w:rsidR="00686CF9">
        <w:rPr>
          <w:rFonts w:eastAsia="Times New Roman" w:cs="Times New Roman"/>
          <w:lang w:val="en-GB"/>
        </w:rPr>
        <w:t xml:space="preserve"> The </w:t>
      </w:r>
      <w:r w:rsidR="00686CF9" w:rsidRPr="00686CF9">
        <w:rPr>
          <w:rFonts w:eastAsia="Calibri" w:cs="Arial"/>
          <w:lang w:val="en-GB"/>
        </w:rPr>
        <w:t xml:space="preserve">housing development should be made affordable and equipped with all the basic facilities and good public transportation. </w:t>
      </w:r>
      <w:r>
        <w:t>Finally,</w:t>
      </w:r>
      <w:r w:rsidRPr="0097662C">
        <w:t xml:space="preserve"> </w:t>
      </w:r>
      <w:r w:rsidR="00961366">
        <w:t>a</w:t>
      </w:r>
      <w:r w:rsidRPr="0097662C">
        <w:t>s findings show that young people housing opportunities are</w:t>
      </w:r>
      <w:r>
        <w:t xml:space="preserve"> </w:t>
      </w:r>
      <w:r w:rsidRPr="0097662C">
        <w:t>limited due to their limited economic resources</w:t>
      </w:r>
      <w:r w:rsidR="00961366">
        <w:t>,</w:t>
      </w:r>
      <w:r w:rsidR="00961366" w:rsidRPr="00961366">
        <w:t xml:space="preserve"> </w:t>
      </w:r>
      <w:r w:rsidR="00961366">
        <w:t xml:space="preserve">the government should consider </w:t>
      </w:r>
      <w:r w:rsidR="00961366" w:rsidRPr="0097662C">
        <w:t>establish</w:t>
      </w:r>
      <w:r w:rsidR="00961366">
        <w:t>ing</w:t>
      </w:r>
      <w:r w:rsidR="00961366" w:rsidRPr="0097662C">
        <w:t xml:space="preserve"> a specific </w:t>
      </w:r>
      <w:r w:rsidR="00961366">
        <w:t xml:space="preserve">fund </w:t>
      </w:r>
      <w:r>
        <w:t>such as Housing Provident Fund</w:t>
      </w:r>
      <w:r w:rsidRPr="0097662C">
        <w:t xml:space="preserve"> for housing that serves as the social insurance scheme and housing financ</w:t>
      </w:r>
      <w:r>
        <w:t xml:space="preserve">ial </w:t>
      </w:r>
      <w:r w:rsidRPr="0097662C">
        <w:t xml:space="preserve">programme. </w:t>
      </w:r>
    </w:p>
    <w:p w14:paraId="1532BC28" w14:textId="09B9A686" w:rsidR="006B653C" w:rsidRPr="0011032F" w:rsidRDefault="006B653C" w:rsidP="00E0051F">
      <w:r>
        <w:tab/>
        <w:t xml:space="preserve">By understanding the housing challenges facing young people in Malaysia, there is an urgency for the government and relevant housing providers to provide inclusive and relevant housing policies that facilitate the young people in this country. For the achievement of the Sustainable Development Goals (SDGs) to make cities and communities liveable and sustainable, </w:t>
      </w:r>
      <w:r w:rsidR="00AA226A">
        <w:t xml:space="preserve">the policy makers along with the private sectors </w:t>
      </w:r>
      <w:r w:rsidR="004C199B">
        <w:t>must set clear aspirations for housing</w:t>
      </w:r>
      <w:r w:rsidR="001D2B2E">
        <w:t xml:space="preserve"> </w:t>
      </w:r>
      <w:r w:rsidR="007152F9">
        <w:t>to ensure</w:t>
      </w:r>
      <w:r w:rsidR="001D2B2E">
        <w:t xml:space="preserve"> everybody </w:t>
      </w:r>
      <w:r w:rsidR="007152F9">
        <w:t>get</w:t>
      </w:r>
      <w:r w:rsidR="001D2B2E">
        <w:t xml:space="preserve"> an access to safe, secure and affordable housing</w:t>
      </w:r>
      <w:r w:rsidR="007152F9">
        <w:t xml:space="preserve"> so that no one left behind. </w:t>
      </w:r>
      <w:r w:rsidR="001D2B2E">
        <w:t xml:space="preserve"> </w:t>
      </w:r>
    </w:p>
    <w:p w14:paraId="7A3108C4" w14:textId="77777777" w:rsidR="007B2D54" w:rsidRDefault="007B2D54" w:rsidP="00E0051F">
      <w:pPr>
        <w:ind w:firstLine="720"/>
        <w:rPr>
          <w:rFonts w:eastAsia="Calibri" w:cs="Times New Roman"/>
          <w:szCs w:val="24"/>
        </w:rPr>
      </w:pPr>
    </w:p>
    <w:p w14:paraId="502CAA0E" w14:textId="7245CEFD" w:rsidR="005511B4" w:rsidRPr="005511B4" w:rsidRDefault="005511B4" w:rsidP="00E0051F"/>
    <w:p w14:paraId="48B7181B" w14:textId="694BAA3D" w:rsidR="00E1252C" w:rsidRPr="00E1252C" w:rsidRDefault="00E1252C" w:rsidP="00E0051F">
      <w:pPr>
        <w:sectPr w:rsidR="00E1252C" w:rsidRPr="00E1252C">
          <w:pgSz w:w="11906" w:h="16838"/>
          <w:pgMar w:top="1440" w:right="1440" w:bottom="1440" w:left="1440" w:header="708" w:footer="708" w:gutter="0"/>
          <w:cols w:space="708"/>
          <w:docGrid w:linePitch="360"/>
        </w:sectPr>
      </w:pPr>
    </w:p>
    <w:p w14:paraId="3B9299ED" w14:textId="135412A0" w:rsidR="0073080F" w:rsidRPr="0073080F" w:rsidRDefault="00B8136F" w:rsidP="00033A48">
      <w:pPr>
        <w:pStyle w:val="Heading2"/>
        <w:spacing w:before="0"/>
      </w:pPr>
      <w:r w:rsidRPr="00B8136F">
        <w:lastRenderedPageBreak/>
        <w:t>Acknowledgement</w:t>
      </w:r>
    </w:p>
    <w:p w14:paraId="0103F9F1" w14:textId="5181F7EC" w:rsidR="0073080F" w:rsidRDefault="001D60FD" w:rsidP="00033A48">
      <w:pPr>
        <w:autoSpaceDE w:val="0"/>
        <w:autoSpaceDN w:val="0"/>
        <w:adjustRightInd w:val="0"/>
        <w:rPr>
          <w:rFonts w:eastAsia="Calibri"/>
          <w:szCs w:val="24"/>
          <w:lang w:val="en-GB"/>
        </w:rPr>
      </w:pPr>
      <w:r>
        <w:rPr>
          <w:rFonts w:eastAsia="Calibri"/>
          <w:szCs w:val="24"/>
          <w:lang w:val="en-GB"/>
        </w:rPr>
        <w:t xml:space="preserve">This article is based on the PhD thesis ‘Housing challenges and opportunities among young people in the Greater Kuala Lumpur, Malaysia’. </w:t>
      </w:r>
      <w:r w:rsidR="0073080F" w:rsidRPr="006B2CAF">
        <w:rPr>
          <w:rFonts w:eastAsia="Calibri"/>
          <w:szCs w:val="24"/>
          <w:lang w:val="en-GB"/>
        </w:rPr>
        <w:t xml:space="preserve">The author gratefully acknowledges the help of Grant (Project Number: PG236-2015B), </w:t>
      </w:r>
      <w:proofErr w:type="spellStart"/>
      <w:r w:rsidR="0073080F" w:rsidRPr="006B2CAF">
        <w:rPr>
          <w:rFonts w:eastAsia="Calibri"/>
          <w:szCs w:val="24"/>
          <w:lang w:val="en-GB"/>
        </w:rPr>
        <w:t>Universiti</w:t>
      </w:r>
      <w:proofErr w:type="spellEnd"/>
      <w:r w:rsidR="0073080F" w:rsidRPr="006B2CAF">
        <w:rPr>
          <w:rFonts w:eastAsia="Calibri"/>
          <w:szCs w:val="24"/>
          <w:lang w:val="en-GB"/>
        </w:rPr>
        <w:t xml:space="preserve"> </w:t>
      </w:r>
      <w:proofErr w:type="spellStart"/>
      <w:r w:rsidR="0073080F" w:rsidRPr="006B2CAF">
        <w:rPr>
          <w:rFonts w:eastAsia="Calibri"/>
          <w:szCs w:val="24"/>
          <w:lang w:val="en-GB"/>
        </w:rPr>
        <w:t>Teknologi</w:t>
      </w:r>
      <w:proofErr w:type="spellEnd"/>
      <w:r w:rsidR="0073080F" w:rsidRPr="006B2CAF">
        <w:rPr>
          <w:rFonts w:eastAsia="Calibri"/>
          <w:szCs w:val="24"/>
          <w:lang w:val="en-GB"/>
        </w:rPr>
        <w:t xml:space="preserve"> MARA and Ministry of Education for the SLAB/SLAI Scheme. The author is also thankful to the respondents who agree to participate in the study. </w:t>
      </w:r>
    </w:p>
    <w:p w14:paraId="257A2621" w14:textId="6FE50212" w:rsidR="00B8136F" w:rsidRDefault="00B8136F" w:rsidP="00790147">
      <w:pPr>
        <w:pStyle w:val="Heading2"/>
        <w:spacing w:before="0" w:line="240" w:lineRule="auto"/>
      </w:pPr>
      <w:r w:rsidRPr="00B20D35">
        <w:t>References</w:t>
      </w:r>
    </w:p>
    <w:p w14:paraId="0D6AD557" w14:textId="3DC224B6" w:rsidR="001D7571" w:rsidRDefault="001D7571" w:rsidP="00286A0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86A02">
        <w:rPr>
          <w:rFonts w:eastAsia="Times New Roman" w:cs="Times New Roman"/>
          <w:noProof/>
          <w:szCs w:val="24"/>
          <w:lang w:val="en-US"/>
        </w:rPr>
        <w:t xml:space="preserve">Agus, M. R., Doling, J., &amp; Lee, D.-S. (2002). </w:t>
      </w:r>
      <w:r w:rsidRPr="00286A02">
        <w:rPr>
          <w:rFonts w:eastAsia="Times New Roman" w:cs="Times New Roman"/>
          <w:i/>
          <w:iCs/>
          <w:noProof/>
          <w:szCs w:val="24"/>
          <w:lang w:val="en-US"/>
        </w:rPr>
        <w:t>Housing policy systems in south and east asia</w:t>
      </w:r>
      <w:r w:rsidRPr="00286A02">
        <w:rPr>
          <w:rFonts w:eastAsia="Times New Roman" w:cs="Times New Roman"/>
          <w:noProof/>
          <w:szCs w:val="24"/>
          <w:lang w:val="en-US"/>
        </w:rPr>
        <w:t xml:space="preserve">. </w:t>
      </w:r>
      <w:hyperlink r:id="rId7" w:history="1">
        <w:r w:rsidRPr="00286A02">
          <w:rPr>
            <w:rStyle w:val="Hyperlink"/>
            <w:rFonts w:eastAsia="Times New Roman" w:cs="Times New Roman"/>
            <w:noProof/>
            <w:color w:val="auto"/>
            <w:szCs w:val="24"/>
            <w:u w:val="none"/>
            <w:lang w:val="en-US"/>
          </w:rPr>
          <w:t>http://doi.org/10.1057/9781403919809</w:t>
        </w:r>
      </w:hyperlink>
    </w:p>
    <w:p w14:paraId="5C0723FF" w14:textId="77777777" w:rsidR="001D7571" w:rsidRPr="001D7571" w:rsidRDefault="001D7571" w:rsidP="00286A0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56872D11" w14:textId="79C879D4" w:rsidR="001D7571" w:rsidRDefault="001D7571" w:rsidP="00286A0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86A02">
        <w:rPr>
          <w:rFonts w:eastAsia="Times New Roman" w:cs="Times New Roman"/>
          <w:noProof/>
          <w:szCs w:val="24"/>
          <w:lang w:val="en-US"/>
        </w:rPr>
        <w:t xml:space="preserve">Ahmad, A.B;Farah Hanan, N.M.A &amp; Hasmah, A. . (2013). Generation Y housing affordability. In </w:t>
      </w:r>
      <w:r w:rsidRPr="00286A02">
        <w:rPr>
          <w:rFonts w:eastAsia="Times New Roman" w:cs="Times New Roman"/>
          <w:i/>
          <w:iCs/>
          <w:noProof/>
          <w:szCs w:val="24"/>
          <w:lang w:val="en-US"/>
        </w:rPr>
        <w:t>Asia Pacific Network For Housing Research (APNHR Conferece 2013)</w:t>
      </w:r>
      <w:r w:rsidRPr="00286A02">
        <w:rPr>
          <w:rFonts w:eastAsia="Times New Roman" w:cs="Times New Roman"/>
          <w:noProof/>
          <w:szCs w:val="24"/>
          <w:lang w:val="en-US"/>
        </w:rPr>
        <w:t xml:space="preserve"> (pp. 20–22). Retrieved from </w:t>
      </w:r>
      <w:hyperlink r:id="rId8" w:history="1">
        <w:r w:rsidRPr="00286A02">
          <w:rPr>
            <w:rStyle w:val="Hyperlink"/>
            <w:rFonts w:eastAsia="Times New Roman" w:cs="Times New Roman"/>
            <w:noProof/>
            <w:color w:val="auto"/>
            <w:szCs w:val="24"/>
            <w:u w:val="none"/>
            <w:lang w:val="en-US"/>
          </w:rPr>
          <w:t>http://www.apnhr2013.com/p/housing-affordability.html</w:t>
        </w:r>
      </w:hyperlink>
    </w:p>
    <w:p w14:paraId="350D1E87" w14:textId="77777777" w:rsidR="001D7571" w:rsidRPr="00286A02" w:rsidRDefault="001D7571" w:rsidP="00286A0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1AD8C370" w14:textId="2A57A67D" w:rsidR="001D7571"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2629E">
        <w:rPr>
          <w:rFonts w:eastAsia="Times New Roman" w:cs="Times New Roman"/>
          <w:noProof/>
          <w:szCs w:val="24"/>
          <w:lang w:val="en-US"/>
        </w:rPr>
        <w:t xml:space="preserve">Ariffin, S. M., Omar, I., &amp; Sa’dun, A. T. (2013). </w:t>
      </w:r>
      <w:r w:rsidRPr="00D2629E">
        <w:rPr>
          <w:rFonts w:eastAsia="Times New Roman" w:cs="Times New Roman"/>
          <w:i/>
          <w:iCs/>
          <w:noProof/>
          <w:szCs w:val="24"/>
          <w:lang w:val="en-US"/>
        </w:rPr>
        <w:t>Senario perumahan:Isu dan amalan</w:t>
      </w:r>
      <w:r w:rsidRPr="00D2629E">
        <w:rPr>
          <w:rFonts w:eastAsia="Times New Roman" w:cs="Times New Roman"/>
          <w:noProof/>
          <w:szCs w:val="24"/>
          <w:lang w:val="en-US"/>
        </w:rPr>
        <w:t xml:space="preserve"> (First Edit). Dewan Bahasa dan Pustaka, Kuala Lumpur.</w:t>
      </w:r>
    </w:p>
    <w:p w14:paraId="7F9AE32C" w14:textId="77777777" w:rsidR="001D7571" w:rsidRPr="001D7571"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08CE6680" w14:textId="740A000C" w:rsidR="001D7571" w:rsidRDefault="001D7571" w:rsidP="00650861">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650861">
        <w:rPr>
          <w:rFonts w:eastAsia="Times New Roman" w:cs="Times New Roman"/>
          <w:noProof/>
          <w:szCs w:val="24"/>
          <w:lang w:val="en-US"/>
        </w:rPr>
        <w:t xml:space="preserve">Arundel, R., &amp; Doling, J. (2017). The end of mass homeownership? changes in labour markets and housing tenure opportunities across Europe. </w:t>
      </w:r>
      <w:r w:rsidRPr="00650861">
        <w:rPr>
          <w:rFonts w:eastAsia="Times New Roman" w:cs="Times New Roman"/>
          <w:i/>
          <w:iCs/>
          <w:noProof/>
          <w:szCs w:val="24"/>
          <w:lang w:val="en-US"/>
        </w:rPr>
        <w:t>Journal of Housing and the Built Environment</w:t>
      </w:r>
      <w:r w:rsidRPr="00650861">
        <w:rPr>
          <w:rFonts w:eastAsia="Times New Roman" w:cs="Times New Roman"/>
          <w:noProof/>
          <w:szCs w:val="24"/>
          <w:lang w:val="en-US"/>
        </w:rPr>
        <w:t xml:space="preserve">, 1–24. </w:t>
      </w:r>
      <w:hyperlink r:id="rId9" w:history="1">
        <w:r w:rsidRPr="00650861">
          <w:rPr>
            <w:rStyle w:val="Hyperlink"/>
            <w:rFonts w:eastAsia="Times New Roman" w:cs="Times New Roman"/>
            <w:noProof/>
            <w:color w:val="auto"/>
            <w:szCs w:val="24"/>
            <w:u w:val="none"/>
            <w:lang w:val="en-US"/>
          </w:rPr>
          <w:t>http://doi.org/10.1007/s10901-017-9551-8</w:t>
        </w:r>
      </w:hyperlink>
    </w:p>
    <w:p w14:paraId="3EB0D04F" w14:textId="77777777" w:rsidR="001D7571" w:rsidRPr="001D7571" w:rsidRDefault="001D7571" w:rsidP="00650861">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713EE290" w14:textId="20343B98" w:rsidR="001D7571" w:rsidRDefault="001D7571" w:rsidP="00CE4CA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CE4CA5">
        <w:rPr>
          <w:rFonts w:eastAsia="Times New Roman" w:cs="Times New Roman"/>
          <w:noProof/>
          <w:szCs w:val="24"/>
          <w:lang w:val="en-US"/>
        </w:rPr>
        <w:t xml:space="preserve">Asian Institute of Finance. (2015). Bridging the knwoledge gap of Malaysia's millennials. Retrieved from </w:t>
      </w:r>
      <w:hyperlink r:id="rId10" w:history="1">
        <w:r w:rsidRPr="00CE4CA5">
          <w:rPr>
            <w:rStyle w:val="Hyperlink"/>
            <w:rFonts w:eastAsia="Times New Roman" w:cs="Times New Roman"/>
            <w:noProof/>
            <w:color w:val="auto"/>
            <w:szCs w:val="24"/>
            <w:u w:val="none"/>
            <w:lang w:val="en-US"/>
          </w:rPr>
          <w:t>http://www.aif.org.my/aif/assets</w:t>
        </w:r>
      </w:hyperlink>
    </w:p>
    <w:p w14:paraId="0EDF0858" w14:textId="77777777" w:rsidR="001D7571" w:rsidRPr="001D7571" w:rsidRDefault="001D7571" w:rsidP="00CE4CA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148692A5" w14:textId="77777777" w:rsidR="001D7571" w:rsidRPr="001D7571" w:rsidRDefault="001D7571" w:rsidP="00E0051F">
      <w:r w:rsidRPr="001D7571">
        <w:t xml:space="preserve">Bank Negara Malaysia (BNM). (2013). Housing financing. Retrieved from </w:t>
      </w:r>
      <w:hyperlink r:id="rId11" w:history="1">
        <w:r w:rsidRPr="001D7571">
          <w:rPr>
            <w:rStyle w:val="Hyperlink"/>
            <w:color w:val="auto"/>
            <w:u w:val="none"/>
          </w:rPr>
          <w:t>http://bnm.gov.my</w:t>
        </w:r>
      </w:hyperlink>
    </w:p>
    <w:p w14:paraId="09B47FD0" w14:textId="1D4FCE72" w:rsidR="001D7571" w:rsidRDefault="001D7571" w:rsidP="0054576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54576D">
        <w:rPr>
          <w:rFonts w:eastAsia="Times New Roman" w:cs="Times New Roman"/>
          <w:noProof/>
          <w:szCs w:val="24"/>
          <w:lang w:val="en-US"/>
        </w:rPr>
        <w:t xml:space="preserve">Baqutaya, S., Ariffin,  a. S., &amp; Raji, F. (2016). Affordable housing policy: Issues and challenges among middle-income groups. </w:t>
      </w:r>
      <w:r w:rsidRPr="0054576D">
        <w:rPr>
          <w:rFonts w:eastAsia="Times New Roman" w:cs="Times New Roman"/>
          <w:i/>
          <w:iCs/>
          <w:noProof/>
          <w:szCs w:val="24"/>
          <w:lang w:val="en-US"/>
        </w:rPr>
        <w:t>International Journal of Social Science and Humanity</w:t>
      </w:r>
      <w:r w:rsidRPr="0054576D">
        <w:rPr>
          <w:rFonts w:eastAsia="Times New Roman" w:cs="Times New Roman"/>
          <w:noProof/>
          <w:szCs w:val="24"/>
          <w:lang w:val="en-US"/>
        </w:rPr>
        <w:t xml:space="preserve">, </w:t>
      </w:r>
      <w:r w:rsidRPr="0054576D">
        <w:rPr>
          <w:rFonts w:eastAsia="Times New Roman" w:cs="Times New Roman"/>
          <w:i/>
          <w:iCs/>
          <w:noProof/>
          <w:szCs w:val="24"/>
          <w:lang w:val="en-US"/>
        </w:rPr>
        <w:t>6</w:t>
      </w:r>
      <w:r w:rsidRPr="0054576D">
        <w:rPr>
          <w:rFonts w:eastAsia="Times New Roman" w:cs="Times New Roman"/>
          <w:noProof/>
          <w:szCs w:val="24"/>
          <w:lang w:val="en-US"/>
        </w:rPr>
        <w:t xml:space="preserve">(6), 433–436. </w:t>
      </w:r>
      <w:hyperlink r:id="rId12" w:history="1">
        <w:r w:rsidRPr="0054576D">
          <w:rPr>
            <w:rStyle w:val="Hyperlink"/>
            <w:rFonts w:eastAsia="Times New Roman" w:cs="Times New Roman"/>
            <w:noProof/>
            <w:color w:val="auto"/>
            <w:szCs w:val="24"/>
            <w:u w:val="none"/>
            <w:lang w:val="en-US"/>
          </w:rPr>
          <w:t>http://doi.org/10.7763/IJSSH.2016.V6.686</w:t>
        </w:r>
      </w:hyperlink>
    </w:p>
    <w:p w14:paraId="19AFA0EA" w14:textId="77777777" w:rsidR="001D7571" w:rsidRPr="001D7571" w:rsidRDefault="001D7571" w:rsidP="0054576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C98070E" w14:textId="01BCFF03" w:rsidR="001D7571" w:rsidRDefault="001D7571" w:rsidP="00517F74">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517F74">
        <w:rPr>
          <w:rFonts w:eastAsia="Times New Roman" w:cs="Times New Roman"/>
          <w:noProof/>
          <w:szCs w:val="24"/>
          <w:lang w:val="en-US"/>
        </w:rPr>
        <w:t xml:space="preserve">Baqutayan, S. M. S. (2014). The affordable housing stress among middle-income group, </w:t>
      </w:r>
      <w:r w:rsidRPr="00517F74">
        <w:rPr>
          <w:rFonts w:eastAsia="Times New Roman" w:cs="Times New Roman"/>
          <w:i/>
          <w:iCs/>
          <w:noProof/>
          <w:szCs w:val="24"/>
          <w:lang w:val="en-US"/>
        </w:rPr>
        <w:t>19</w:t>
      </w:r>
      <w:r w:rsidRPr="00517F74">
        <w:rPr>
          <w:rFonts w:eastAsia="Times New Roman" w:cs="Times New Roman"/>
          <w:noProof/>
          <w:szCs w:val="24"/>
          <w:lang w:val="en-US"/>
        </w:rPr>
        <w:t>(7), 82–90.</w:t>
      </w:r>
    </w:p>
    <w:p w14:paraId="4A8FCCF0" w14:textId="77777777" w:rsidR="001D7571" w:rsidRPr="001D7571" w:rsidRDefault="001D7571" w:rsidP="00517F74">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1F53A2A4" w14:textId="09B5EB89" w:rsidR="001D7571" w:rsidRDefault="001D7571" w:rsidP="00E371E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E371EF">
        <w:rPr>
          <w:rFonts w:eastAsia="Times New Roman" w:cs="Times New Roman"/>
          <w:noProof/>
          <w:szCs w:val="24"/>
          <w:lang w:val="en-US"/>
        </w:rPr>
        <w:t xml:space="preserve">Beer, A., &amp; Faulkner, D. (2013). The housing transition of young people in Australia: Change, continuity and challenge. In Forest. R &amp; Yip, N.M. Editor (Eds.), </w:t>
      </w:r>
      <w:r w:rsidRPr="00E371EF">
        <w:rPr>
          <w:rFonts w:eastAsia="Times New Roman" w:cs="Times New Roman"/>
          <w:i/>
          <w:noProof/>
          <w:szCs w:val="24"/>
          <w:lang w:val="en-US"/>
        </w:rPr>
        <w:t>Young people and housing: transitions, trajectories and general fractures</w:t>
      </w:r>
      <w:r w:rsidRPr="00E371EF">
        <w:rPr>
          <w:rFonts w:eastAsia="Times New Roman" w:cs="Times New Roman"/>
          <w:noProof/>
          <w:szCs w:val="24"/>
          <w:lang w:val="en-US"/>
        </w:rPr>
        <w:t xml:space="preserve">. (pp. 64-88). </w:t>
      </w:r>
    </w:p>
    <w:p w14:paraId="231990CE" w14:textId="77777777" w:rsidR="001D7571" w:rsidRPr="00E371EF" w:rsidRDefault="001D7571" w:rsidP="00E371E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6933F79" w14:textId="26D504DB" w:rsid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57118">
        <w:rPr>
          <w:rFonts w:eastAsia="Times New Roman" w:cs="Times New Roman"/>
          <w:noProof/>
          <w:szCs w:val="24"/>
          <w:lang w:val="en-US"/>
        </w:rPr>
        <w:t xml:space="preserve">Belsky, E. S. (2013). The dream lives on : the future of homeownership in America. </w:t>
      </w:r>
      <w:r w:rsidRPr="00D57118">
        <w:rPr>
          <w:rFonts w:eastAsia="Times New Roman" w:cs="Times New Roman"/>
          <w:i/>
          <w:iCs/>
          <w:noProof/>
          <w:szCs w:val="24"/>
          <w:lang w:val="en-US"/>
        </w:rPr>
        <w:t>Joint Center for Housing Studies Harvard University</w:t>
      </w:r>
      <w:r w:rsidRPr="00D57118">
        <w:rPr>
          <w:rFonts w:eastAsia="Times New Roman" w:cs="Times New Roman"/>
          <w:noProof/>
          <w:szCs w:val="24"/>
          <w:lang w:val="en-US"/>
        </w:rPr>
        <w:t>.</w:t>
      </w:r>
    </w:p>
    <w:p w14:paraId="55280D1D" w14:textId="77777777" w:rsidR="001D7571" w:rsidRPr="00D57118"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39F6F341" w14:textId="7C8BFD47" w:rsid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57118">
        <w:rPr>
          <w:rFonts w:eastAsia="Times New Roman" w:cs="Times New Roman"/>
          <w:noProof/>
          <w:szCs w:val="24"/>
          <w:lang w:val="en-US"/>
        </w:rPr>
        <w:t xml:space="preserve">Bessant, J. C., &amp; Johnson, G. (2013). “Dream on”: Declining homeownership among young people in Australia? </w:t>
      </w:r>
      <w:r w:rsidRPr="00D57118">
        <w:rPr>
          <w:rFonts w:eastAsia="Times New Roman" w:cs="Times New Roman"/>
          <w:i/>
          <w:iCs/>
          <w:noProof/>
          <w:szCs w:val="24"/>
          <w:lang w:val="en-US"/>
        </w:rPr>
        <w:t>Housing, Theory and Society</w:t>
      </w:r>
      <w:r w:rsidRPr="00D57118">
        <w:rPr>
          <w:rFonts w:eastAsia="Times New Roman" w:cs="Times New Roman"/>
          <w:noProof/>
          <w:szCs w:val="24"/>
          <w:lang w:val="en-US"/>
        </w:rPr>
        <w:t xml:space="preserve">, </w:t>
      </w:r>
      <w:r w:rsidRPr="00D57118">
        <w:rPr>
          <w:rFonts w:eastAsia="Times New Roman" w:cs="Times New Roman"/>
          <w:i/>
          <w:iCs/>
          <w:noProof/>
          <w:szCs w:val="24"/>
          <w:lang w:val="en-US"/>
        </w:rPr>
        <w:t>30</w:t>
      </w:r>
      <w:r w:rsidRPr="00D57118">
        <w:rPr>
          <w:rFonts w:eastAsia="Times New Roman" w:cs="Times New Roman"/>
          <w:noProof/>
          <w:szCs w:val="24"/>
          <w:lang w:val="en-US"/>
        </w:rPr>
        <w:t xml:space="preserve">(2), 177–192. </w:t>
      </w:r>
      <w:hyperlink r:id="rId13" w:history="1">
        <w:r w:rsidRPr="00D57118">
          <w:rPr>
            <w:rFonts w:eastAsia="Times New Roman" w:cs="Times New Roman"/>
            <w:noProof/>
            <w:szCs w:val="24"/>
            <w:lang w:val="en-US"/>
          </w:rPr>
          <w:t>http://doi.org/10.1080/14036096.2012.728151</w:t>
        </w:r>
      </w:hyperlink>
    </w:p>
    <w:p w14:paraId="218094A4" w14:textId="77777777" w:rsidR="001D7571" w:rsidRP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51DEC679" w14:textId="5CD31731" w:rsidR="001D7571" w:rsidRDefault="001D7571" w:rsidP="00286A0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86A02">
        <w:rPr>
          <w:rFonts w:eastAsia="Times New Roman" w:cs="Times New Roman"/>
          <w:noProof/>
          <w:szCs w:val="24"/>
          <w:lang w:val="en-US"/>
        </w:rPr>
        <w:lastRenderedPageBreak/>
        <w:t xml:space="preserve">Cagamas. (2013). </w:t>
      </w:r>
      <w:r w:rsidRPr="00286A02">
        <w:rPr>
          <w:rFonts w:eastAsia="Times New Roman" w:cs="Times New Roman"/>
          <w:i/>
          <w:iCs/>
          <w:noProof/>
          <w:szCs w:val="24"/>
          <w:lang w:val="en-US"/>
        </w:rPr>
        <w:t>Housing the nation: Policies, issues and prospects</w:t>
      </w:r>
      <w:r w:rsidRPr="00286A02">
        <w:rPr>
          <w:rFonts w:eastAsia="Times New Roman" w:cs="Times New Roman"/>
          <w:noProof/>
          <w:szCs w:val="24"/>
          <w:lang w:val="en-US"/>
        </w:rPr>
        <w:t>. Kuala Lumpur: Cagamas.</w:t>
      </w:r>
    </w:p>
    <w:p w14:paraId="292D94CF" w14:textId="77777777" w:rsidR="001D7571" w:rsidRPr="001D7571" w:rsidRDefault="001D7571" w:rsidP="00286A0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A710332" w14:textId="54B29327" w:rsidR="001D7571" w:rsidRDefault="001D7571" w:rsidP="0020128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0128D">
        <w:rPr>
          <w:rFonts w:eastAsia="Times New Roman" w:cs="Times New Roman"/>
          <w:noProof/>
          <w:szCs w:val="24"/>
          <w:lang w:val="en-US"/>
        </w:rPr>
        <w:t xml:space="preserve">Campos, B.C; Yiu, C.Y; Shen, J; Liao, K.H &amp; Maing, M. (2016). The Anticipated housing pathways to homeownership of young people in Hong Kong. </w:t>
      </w:r>
      <w:r w:rsidRPr="0020128D">
        <w:rPr>
          <w:rFonts w:eastAsia="Times New Roman" w:cs="Times New Roman"/>
          <w:i/>
          <w:noProof/>
          <w:szCs w:val="24"/>
          <w:lang w:val="en-US"/>
        </w:rPr>
        <w:t>International Journal of Housing Policy,</w:t>
      </w:r>
      <w:r w:rsidRPr="0020128D">
        <w:rPr>
          <w:rFonts w:eastAsia="Times New Roman" w:cs="Times New Roman"/>
          <w:noProof/>
          <w:szCs w:val="24"/>
          <w:lang w:val="en-US"/>
        </w:rPr>
        <w:t xml:space="preserve"> 6718(March), 1–20. </w:t>
      </w:r>
      <w:hyperlink r:id="rId14" w:history="1">
        <w:r w:rsidRPr="0020128D">
          <w:rPr>
            <w:rStyle w:val="Hyperlink"/>
            <w:rFonts w:eastAsia="Times New Roman" w:cs="Times New Roman"/>
            <w:noProof/>
            <w:color w:val="auto"/>
            <w:szCs w:val="24"/>
            <w:u w:val="none"/>
            <w:lang w:val="en-US"/>
          </w:rPr>
          <w:t>http://doi.org/10.1080/14616718.2015.1130605</w:t>
        </w:r>
      </w:hyperlink>
    </w:p>
    <w:p w14:paraId="61C423B8" w14:textId="77777777" w:rsidR="001D7571" w:rsidRPr="001D7571" w:rsidRDefault="001D7571" w:rsidP="0020128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0C947CF1" w14:textId="3C9B40E8" w:rsidR="001D7571"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2629E">
        <w:rPr>
          <w:rFonts w:eastAsia="Times New Roman" w:cs="Times New Roman"/>
          <w:noProof/>
          <w:szCs w:val="24"/>
          <w:lang w:val="en-US"/>
        </w:rPr>
        <w:t xml:space="preserve">Clark, W. V, &amp; Mulder, C. H. (2000). Leaving home and entering the housing market. </w:t>
      </w:r>
      <w:r w:rsidRPr="00D2629E">
        <w:rPr>
          <w:rFonts w:eastAsia="Times New Roman" w:cs="Times New Roman"/>
          <w:i/>
          <w:iCs/>
          <w:noProof/>
          <w:szCs w:val="24"/>
          <w:lang w:val="en-US"/>
        </w:rPr>
        <w:t>Environment and Planning A</w:t>
      </w:r>
      <w:r w:rsidRPr="00D2629E">
        <w:rPr>
          <w:rFonts w:eastAsia="Times New Roman" w:cs="Times New Roman"/>
          <w:noProof/>
          <w:szCs w:val="24"/>
          <w:lang w:val="en-US"/>
        </w:rPr>
        <w:t xml:space="preserve">, </w:t>
      </w:r>
      <w:r w:rsidRPr="00D2629E">
        <w:rPr>
          <w:rFonts w:eastAsia="Times New Roman" w:cs="Times New Roman"/>
          <w:i/>
          <w:iCs/>
          <w:noProof/>
          <w:szCs w:val="24"/>
          <w:lang w:val="en-US"/>
        </w:rPr>
        <w:t>32</w:t>
      </w:r>
      <w:r w:rsidRPr="00D2629E">
        <w:rPr>
          <w:rFonts w:eastAsia="Times New Roman" w:cs="Times New Roman"/>
          <w:noProof/>
          <w:szCs w:val="24"/>
          <w:lang w:val="en-US"/>
        </w:rPr>
        <w:t xml:space="preserve">(9), 1657–1671. </w:t>
      </w:r>
      <w:hyperlink r:id="rId15" w:history="1">
        <w:r w:rsidRPr="00D2629E">
          <w:rPr>
            <w:rStyle w:val="Hyperlink"/>
            <w:rFonts w:eastAsia="Times New Roman" w:cs="Times New Roman"/>
            <w:noProof/>
            <w:color w:val="auto"/>
            <w:szCs w:val="24"/>
            <w:u w:val="none"/>
            <w:lang w:val="en-US"/>
          </w:rPr>
          <w:t>http://doi.org/10.1068/a3315</w:t>
        </w:r>
      </w:hyperlink>
    </w:p>
    <w:p w14:paraId="2B15CFD0" w14:textId="77777777" w:rsidR="001D7571" w:rsidRPr="001D7571"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3789F2FB" w14:textId="7ED215A2" w:rsidR="001D7571"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2629E">
        <w:rPr>
          <w:rFonts w:eastAsia="Times New Roman" w:cs="Times New Roman"/>
          <w:noProof/>
          <w:szCs w:val="24"/>
          <w:lang w:val="en-US"/>
        </w:rPr>
        <w:t xml:space="preserve">Creswell. J. (2009). </w:t>
      </w:r>
      <w:r w:rsidRPr="00D2629E">
        <w:rPr>
          <w:rFonts w:eastAsia="Times New Roman" w:cs="Times New Roman"/>
          <w:i/>
          <w:noProof/>
          <w:szCs w:val="24"/>
          <w:lang w:val="en-US"/>
        </w:rPr>
        <w:t xml:space="preserve">Research design: Qualitative, quantitative, and mixed methods approaches. </w:t>
      </w:r>
      <w:r w:rsidRPr="00D2629E">
        <w:rPr>
          <w:rFonts w:eastAsia="Times New Roman" w:cs="Times New Roman"/>
          <w:noProof/>
          <w:szCs w:val="24"/>
          <w:lang w:val="en-US"/>
        </w:rPr>
        <w:t>United States of America: Sage Publications</w:t>
      </w:r>
    </w:p>
    <w:p w14:paraId="5C94D518" w14:textId="77777777" w:rsidR="001D7571" w:rsidRPr="00D2629E"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423B6153" w14:textId="54BFF3A0" w:rsidR="001D7571" w:rsidRDefault="001D7571" w:rsidP="005C15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5C15FF">
        <w:rPr>
          <w:rFonts w:eastAsia="Times New Roman" w:cs="Times New Roman"/>
          <w:noProof/>
          <w:szCs w:val="24"/>
          <w:lang w:val="en-US"/>
        </w:rPr>
        <w:t xml:space="preserve">Deng, W. J., Hoekstra, J. S. C. M., &amp; Elsinga, M. G. (2016). The Changing Determinants of Homeownership Amongst Young People in Urban China. </w:t>
      </w:r>
      <w:r w:rsidRPr="005C15FF">
        <w:rPr>
          <w:rFonts w:eastAsia="Times New Roman" w:cs="Times New Roman"/>
          <w:i/>
          <w:iCs/>
          <w:noProof/>
          <w:szCs w:val="24"/>
          <w:lang w:val="en-US"/>
        </w:rPr>
        <w:t>International Journal of Housing Policy</w:t>
      </w:r>
      <w:r w:rsidRPr="005C15FF">
        <w:rPr>
          <w:rFonts w:eastAsia="Times New Roman" w:cs="Times New Roman"/>
          <w:noProof/>
          <w:szCs w:val="24"/>
          <w:lang w:val="en-US"/>
        </w:rPr>
        <w:t xml:space="preserve">, </w:t>
      </w:r>
      <w:r w:rsidRPr="005C15FF">
        <w:rPr>
          <w:rFonts w:eastAsia="Times New Roman" w:cs="Times New Roman"/>
          <w:i/>
          <w:iCs/>
          <w:noProof/>
          <w:szCs w:val="24"/>
          <w:lang w:val="en-US"/>
        </w:rPr>
        <w:t>6718</w:t>
      </w:r>
      <w:r w:rsidRPr="005C15FF">
        <w:rPr>
          <w:rFonts w:eastAsia="Times New Roman" w:cs="Times New Roman"/>
          <w:noProof/>
          <w:szCs w:val="24"/>
          <w:lang w:val="en-US"/>
        </w:rPr>
        <w:t xml:space="preserve">(April), 1–22. </w:t>
      </w:r>
      <w:hyperlink r:id="rId16" w:history="1">
        <w:r w:rsidRPr="005C15FF">
          <w:rPr>
            <w:rFonts w:eastAsia="Times New Roman" w:cs="Times New Roman"/>
            <w:noProof/>
            <w:szCs w:val="24"/>
            <w:lang w:val="en-US"/>
          </w:rPr>
          <w:t>http://doi.org/10.1080/14616718.2015.1135857</w:t>
        </w:r>
      </w:hyperlink>
    </w:p>
    <w:p w14:paraId="62F22F45" w14:textId="77777777" w:rsidR="001D7571" w:rsidRPr="005C15FF" w:rsidRDefault="001D7571" w:rsidP="005C15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7B117455" w14:textId="000C445C" w:rsidR="001D7571" w:rsidRDefault="001D7571" w:rsidP="00790147">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GB"/>
        </w:rPr>
      </w:pPr>
      <w:r w:rsidRPr="00174F96">
        <w:rPr>
          <w:rFonts w:eastAsia="Times New Roman" w:cs="Times New Roman"/>
          <w:noProof/>
          <w:szCs w:val="24"/>
          <w:lang w:val="en-GB"/>
        </w:rPr>
        <w:t>Department of Statistics, M. (201</w:t>
      </w:r>
      <w:r w:rsidRPr="001D7571">
        <w:rPr>
          <w:rFonts w:eastAsia="Times New Roman" w:cs="Times New Roman"/>
          <w:noProof/>
          <w:szCs w:val="24"/>
          <w:lang w:val="en-GB"/>
        </w:rPr>
        <w:t>9</w:t>
      </w:r>
      <w:r w:rsidRPr="00174F96">
        <w:rPr>
          <w:rFonts w:eastAsia="Times New Roman" w:cs="Times New Roman"/>
          <w:noProof/>
          <w:szCs w:val="24"/>
          <w:lang w:val="en-GB"/>
        </w:rPr>
        <w:t xml:space="preserve">). </w:t>
      </w:r>
      <w:r w:rsidRPr="001D7571">
        <w:rPr>
          <w:rFonts w:eastAsia="Times New Roman" w:cs="Times New Roman"/>
          <w:i/>
          <w:iCs/>
          <w:noProof/>
          <w:szCs w:val="24"/>
          <w:lang w:val="en-GB"/>
        </w:rPr>
        <w:t>Population</w:t>
      </w:r>
      <w:r w:rsidRPr="00174F96">
        <w:rPr>
          <w:rFonts w:eastAsia="Times New Roman" w:cs="Times New Roman"/>
          <w:i/>
          <w:iCs/>
          <w:noProof/>
          <w:szCs w:val="24"/>
          <w:lang w:val="en-GB"/>
        </w:rPr>
        <w:t xml:space="preserve"> in Malaysia.</w:t>
      </w:r>
      <w:r w:rsidRPr="00174F96">
        <w:rPr>
          <w:rFonts w:eastAsia="Times New Roman" w:cs="Times New Roman"/>
          <w:noProof/>
          <w:szCs w:val="24"/>
          <w:lang w:val="en-GB"/>
        </w:rPr>
        <w:t xml:space="preserve"> Retrieved from </w:t>
      </w:r>
      <w:hyperlink r:id="rId17" w:history="1">
        <w:r w:rsidRPr="00174F96">
          <w:rPr>
            <w:rStyle w:val="Hyperlink"/>
            <w:rFonts w:eastAsia="Times New Roman" w:cs="Times New Roman"/>
            <w:noProof/>
            <w:color w:val="auto"/>
            <w:szCs w:val="24"/>
            <w:u w:val="none"/>
            <w:lang w:val="en-GB"/>
          </w:rPr>
          <w:t>https://www.dosm.gov.my/v1/</w:t>
        </w:r>
      </w:hyperlink>
    </w:p>
    <w:p w14:paraId="71A72C2D" w14:textId="77777777" w:rsidR="001D7571" w:rsidRPr="001D7571" w:rsidRDefault="001D7571" w:rsidP="00790147">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GB"/>
        </w:rPr>
      </w:pPr>
    </w:p>
    <w:p w14:paraId="67A8D025" w14:textId="087D3CB9" w:rsidR="001D7571" w:rsidRPr="001D7571" w:rsidRDefault="001D7571" w:rsidP="002176F0">
      <w:pPr>
        <w:widowControl w:val="0"/>
        <w:autoSpaceDE w:val="0"/>
        <w:autoSpaceDN w:val="0"/>
        <w:adjustRightInd w:val="0"/>
        <w:spacing w:after="0" w:line="240" w:lineRule="auto"/>
        <w:ind w:left="480" w:hanging="480"/>
        <w:rPr>
          <w:rFonts w:eastAsia="Calibri" w:cs="Times New Roman"/>
          <w:noProof/>
          <w:szCs w:val="24"/>
          <w:lang w:val="en-US"/>
        </w:rPr>
      </w:pPr>
      <w:r w:rsidRPr="002176F0">
        <w:rPr>
          <w:rFonts w:eastAsia="Calibri" w:cs="Times New Roman"/>
          <w:noProof/>
          <w:szCs w:val="24"/>
          <w:lang w:val="en-US"/>
        </w:rPr>
        <w:t xml:space="preserve">Economic Planning Unit (EPU). (2016). </w:t>
      </w:r>
      <w:r w:rsidRPr="002176F0">
        <w:rPr>
          <w:rFonts w:eastAsia="Calibri" w:cs="Times New Roman"/>
          <w:i/>
          <w:noProof/>
          <w:szCs w:val="24"/>
          <w:lang w:val="en-US"/>
        </w:rPr>
        <w:t xml:space="preserve">Providing Adequate and Quality Affordable House </w:t>
      </w:r>
      <w:r w:rsidRPr="002176F0">
        <w:rPr>
          <w:rFonts w:eastAsia="Calibri" w:cs="Times New Roman"/>
          <w:noProof/>
          <w:szCs w:val="24"/>
          <w:lang w:val="en-US"/>
        </w:rPr>
        <w:t xml:space="preserve">Retrieved from </w:t>
      </w:r>
      <w:hyperlink r:id="rId18" w:history="1">
        <w:r w:rsidRPr="002176F0">
          <w:rPr>
            <w:rStyle w:val="Hyperlink"/>
            <w:rFonts w:eastAsia="Calibri" w:cs="Times New Roman"/>
            <w:noProof/>
            <w:color w:val="auto"/>
            <w:szCs w:val="24"/>
            <w:u w:val="none"/>
            <w:lang w:val="en-US"/>
          </w:rPr>
          <w:t>http://www.epu.gov.my</w:t>
        </w:r>
      </w:hyperlink>
    </w:p>
    <w:p w14:paraId="5779BE0F" w14:textId="77777777" w:rsidR="001D7571" w:rsidRPr="002176F0" w:rsidRDefault="001D7571" w:rsidP="002176F0">
      <w:pPr>
        <w:widowControl w:val="0"/>
        <w:autoSpaceDE w:val="0"/>
        <w:autoSpaceDN w:val="0"/>
        <w:adjustRightInd w:val="0"/>
        <w:spacing w:after="0" w:line="240" w:lineRule="auto"/>
        <w:ind w:left="480" w:hanging="480"/>
        <w:rPr>
          <w:rFonts w:eastAsia="Calibri" w:cs="Times New Roman"/>
          <w:noProof/>
          <w:szCs w:val="24"/>
          <w:lang w:val="en-US"/>
        </w:rPr>
      </w:pPr>
    </w:p>
    <w:p w14:paraId="5246119A" w14:textId="4E2544FB" w:rsidR="001D7571" w:rsidRPr="001D7571" w:rsidRDefault="001D7571" w:rsidP="0020128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0128D">
        <w:rPr>
          <w:rFonts w:eastAsia="Times New Roman" w:cs="Times New Roman"/>
          <w:noProof/>
          <w:szCs w:val="24"/>
          <w:lang w:val="en-US"/>
        </w:rPr>
        <w:t xml:space="preserve">Filandri, M., &amp; Bertolini, S. (2016). Young people and home ownership in Europe. </w:t>
      </w:r>
      <w:r w:rsidRPr="0020128D">
        <w:rPr>
          <w:rFonts w:eastAsia="Times New Roman" w:cs="Times New Roman"/>
          <w:i/>
          <w:iCs/>
          <w:noProof/>
          <w:szCs w:val="24"/>
          <w:lang w:val="en-US"/>
        </w:rPr>
        <w:t>International Journal of Housing Policy</w:t>
      </w:r>
      <w:r w:rsidRPr="0020128D">
        <w:rPr>
          <w:rFonts w:eastAsia="Times New Roman" w:cs="Times New Roman"/>
          <w:noProof/>
          <w:szCs w:val="24"/>
          <w:lang w:val="en-US"/>
        </w:rPr>
        <w:t xml:space="preserve">, </w:t>
      </w:r>
      <w:r w:rsidRPr="0020128D">
        <w:rPr>
          <w:rFonts w:eastAsia="Times New Roman" w:cs="Times New Roman"/>
          <w:i/>
          <w:iCs/>
          <w:noProof/>
          <w:szCs w:val="24"/>
          <w:lang w:val="en-US"/>
        </w:rPr>
        <w:t>6718</w:t>
      </w:r>
      <w:r w:rsidRPr="0020128D">
        <w:rPr>
          <w:rFonts w:eastAsia="Times New Roman" w:cs="Times New Roman"/>
          <w:noProof/>
          <w:szCs w:val="24"/>
          <w:lang w:val="en-US"/>
        </w:rPr>
        <w:t xml:space="preserve">(March), 1–21. </w:t>
      </w:r>
      <w:hyperlink r:id="rId19" w:history="1">
        <w:r w:rsidRPr="0020128D">
          <w:rPr>
            <w:rStyle w:val="Hyperlink"/>
            <w:rFonts w:eastAsia="Times New Roman" w:cs="Times New Roman"/>
            <w:noProof/>
            <w:color w:val="auto"/>
            <w:szCs w:val="24"/>
            <w:u w:val="none"/>
            <w:lang w:val="en-US"/>
          </w:rPr>
          <w:t>http://doi.org/10.1080/14616718.2015.1130606</w:t>
        </w:r>
      </w:hyperlink>
    </w:p>
    <w:p w14:paraId="164AAF3A" w14:textId="77777777" w:rsidR="001D7571" w:rsidRPr="0020128D" w:rsidRDefault="001D7571" w:rsidP="0020128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51E2BF1" w14:textId="06D427BB" w:rsidR="001D7571" w:rsidRDefault="001D7571" w:rsidP="0033472B">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33472B">
        <w:rPr>
          <w:rFonts w:eastAsia="Times New Roman" w:cs="Times New Roman"/>
          <w:noProof/>
          <w:szCs w:val="24"/>
          <w:lang w:val="en-US"/>
        </w:rPr>
        <w:t xml:space="preserve">Fun, W. S. (2012). </w:t>
      </w:r>
      <w:r w:rsidRPr="0033472B">
        <w:rPr>
          <w:rFonts w:eastAsia="Times New Roman" w:cs="Times New Roman"/>
          <w:i/>
          <w:iCs/>
          <w:noProof/>
          <w:szCs w:val="24"/>
          <w:lang w:val="en-US"/>
        </w:rPr>
        <w:t xml:space="preserve">Home Ownership Aspiration in Hong Kong : A Case Study on the Groups aged 25-34. </w:t>
      </w:r>
      <w:r w:rsidRPr="0033472B">
        <w:rPr>
          <w:rFonts w:eastAsia="Times New Roman" w:cs="Times New Roman"/>
          <w:noProof/>
          <w:szCs w:val="24"/>
          <w:lang w:val="en-US"/>
        </w:rPr>
        <w:t xml:space="preserve">Retrieved from </w:t>
      </w:r>
      <w:hyperlink r:id="rId20" w:history="1">
        <w:r w:rsidRPr="0033472B">
          <w:rPr>
            <w:rStyle w:val="Hyperlink"/>
            <w:rFonts w:eastAsia="Times New Roman" w:cs="Times New Roman"/>
            <w:noProof/>
            <w:color w:val="auto"/>
            <w:szCs w:val="24"/>
            <w:u w:val="none"/>
            <w:lang w:val="en-US"/>
          </w:rPr>
          <w:t>http://hub.hku.hk/handle/10722/207637</w:t>
        </w:r>
      </w:hyperlink>
    </w:p>
    <w:p w14:paraId="1404DC8B" w14:textId="77777777" w:rsidR="001D7571" w:rsidRPr="001D7571" w:rsidRDefault="001D7571" w:rsidP="0033472B">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07F32C09" w14:textId="77777777" w:rsidR="001D7571" w:rsidRDefault="001D7571" w:rsidP="001D7571">
      <w:pPr>
        <w:widowControl w:val="0"/>
        <w:autoSpaceDE w:val="0"/>
        <w:autoSpaceDN w:val="0"/>
        <w:adjustRightInd w:val="0"/>
        <w:spacing w:beforeLines="240" w:before="576" w:afterLines="240" w:after="576" w:line="240" w:lineRule="auto"/>
        <w:ind w:left="720" w:hanging="720"/>
        <w:rPr>
          <w:rFonts w:eastAsia="Times New Roman" w:cs="Times New Roman"/>
          <w:noProof/>
          <w:szCs w:val="24"/>
          <w:lang w:val="en-US"/>
        </w:rPr>
      </w:pPr>
      <w:r w:rsidRPr="001D7571">
        <w:rPr>
          <w:rFonts w:eastAsia="Times New Roman" w:cs="Times New Roman"/>
          <w:noProof/>
          <w:szCs w:val="24"/>
          <w:lang w:val="en-US"/>
        </w:rPr>
        <w:t xml:space="preserve">Hamzah, H., &amp; Adnan, N. (2016). The Meaning of Home and Its Implications on Alternative Tenures: A Malaysian Perspective. </w:t>
      </w:r>
      <w:r w:rsidRPr="001D7571">
        <w:rPr>
          <w:rFonts w:eastAsia="Times New Roman" w:cs="Times New Roman"/>
          <w:i/>
          <w:iCs/>
          <w:noProof/>
          <w:szCs w:val="24"/>
          <w:lang w:val="en-US"/>
        </w:rPr>
        <w:t>Housing, Theory and Society</w:t>
      </w:r>
      <w:r w:rsidRPr="001D7571">
        <w:rPr>
          <w:rFonts w:eastAsia="Times New Roman" w:cs="Times New Roman"/>
          <w:noProof/>
          <w:szCs w:val="24"/>
          <w:lang w:val="en-US"/>
        </w:rPr>
        <w:t xml:space="preserve">, </w:t>
      </w:r>
      <w:r w:rsidRPr="001D7571">
        <w:rPr>
          <w:rFonts w:eastAsia="Times New Roman" w:cs="Times New Roman"/>
          <w:i/>
          <w:iCs/>
          <w:noProof/>
          <w:szCs w:val="24"/>
          <w:lang w:val="en-US"/>
        </w:rPr>
        <w:t>6096</w:t>
      </w:r>
      <w:r w:rsidRPr="001D7571">
        <w:rPr>
          <w:rFonts w:eastAsia="Times New Roman" w:cs="Times New Roman"/>
          <w:noProof/>
          <w:szCs w:val="24"/>
          <w:lang w:val="en-US"/>
        </w:rPr>
        <w:t xml:space="preserve">(March), 1–19. </w:t>
      </w:r>
      <w:hyperlink r:id="rId21" w:history="1">
        <w:r w:rsidRPr="001D7571">
          <w:rPr>
            <w:rStyle w:val="Hyperlink"/>
            <w:rFonts w:eastAsia="Times New Roman" w:cs="Times New Roman"/>
            <w:noProof/>
            <w:color w:val="auto"/>
            <w:szCs w:val="24"/>
            <w:u w:val="none"/>
            <w:lang w:val="en-US"/>
          </w:rPr>
          <w:t>http://doi.org/10.1080/14036096.2016.1143025</w:t>
        </w:r>
      </w:hyperlink>
    </w:p>
    <w:p w14:paraId="66C2F9CB" w14:textId="16ED1CC1" w:rsidR="001D7571" w:rsidRPr="001D7571" w:rsidRDefault="001D7571" w:rsidP="001D7571">
      <w:pPr>
        <w:widowControl w:val="0"/>
        <w:autoSpaceDE w:val="0"/>
        <w:autoSpaceDN w:val="0"/>
        <w:adjustRightInd w:val="0"/>
        <w:spacing w:beforeLines="240" w:before="576" w:afterLines="240" w:after="576" w:line="240" w:lineRule="auto"/>
        <w:ind w:left="720" w:hanging="720"/>
        <w:rPr>
          <w:rFonts w:eastAsia="Times New Roman" w:cs="Times New Roman"/>
          <w:noProof/>
          <w:szCs w:val="24"/>
          <w:lang w:val="en-US"/>
        </w:rPr>
      </w:pPr>
      <w:r w:rsidRPr="00A83AE5">
        <w:rPr>
          <w:rFonts w:eastAsia="Times New Roman" w:cs="Times New Roman"/>
          <w:noProof/>
          <w:szCs w:val="24"/>
          <w:lang w:val="en-US"/>
        </w:rPr>
        <w:t xml:space="preserve">Hamzah, H., &amp; Adnan, N. (2016). The Meaning of Home and Its Implications on Alternative Tenures: A Malaysian Perspective. </w:t>
      </w:r>
      <w:r w:rsidRPr="00A83AE5">
        <w:rPr>
          <w:rFonts w:eastAsia="Times New Roman" w:cs="Times New Roman"/>
          <w:i/>
          <w:iCs/>
          <w:noProof/>
          <w:szCs w:val="24"/>
          <w:lang w:val="en-US"/>
        </w:rPr>
        <w:t>Housing, Theory and Society</w:t>
      </w:r>
      <w:r w:rsidRPr="00A83AE5">
        <w:rPr>
          <w:rFonts w:eastAsia="Times New Roman" w:cs="Times New Roman"/>
          <w:noProof/>
          <w:szCs w:val="24"/>
          <w:lang w:val="en-US"/>
        </w:rPr>
        <w:t xml:space="preserve">, </w:t>
      </w:r>
      <w:r w:rsidRPr="00A83AE5">
        <w:rPr>
          <w:rFonts w:eastAsia="Times New Roman" w:cs="Times New Roman"/>
          <w:i/>
          <w:iCs/>
          <w:noProof/>
          <w:szCs w:val="24"/>
          <w:lang w:val="en-US"/>
        </w:rPr>
        <w:t>6096</w:t>
      </w:r>
      <w:r w:rsidRPr="00A83AE5">
        <w:rPr>
          <w:rFonts w:eastAsia="Times New Roman" w:cs="Times New Roman"/>
          <w:noProof/>
          <w:szCs w:val="24"/>
          <w:lang w:val="en-US"/>
        </w:rPr>
        <w:t xml:space="preserve">(March), 1–19. </w:t>
      </w:r>
      <w:hyperlink r:id="rId22" w:history="1">
        <w:r w:rsidRPr="00A83AE5">
          <w:rPr>
            <w:rStyle w:val="Hyperlink"/>
            <w:rFonts w:eastAsia="Times New Roman" w:cs="Times New Roman"/>
            <w:noProof/>
            <w:color w:val="auto"/>
            <w:szCs w:val="24"/>
            <w:u w:val="none"/>
            <w:lang w:val="en-US"/>
          </w:rPr>
          <w:t>http://doi.org/10.1080/14036096.2016.1143025</w:t>
        </w:r>
      </w:hyperlink>
    </w:p>
    <w:p w14:paraId="479F87F6" w14:textId="60F5D45C" w:rsidR="001D7571" w:rsidRDefault="001D7571" w:rsidP="00E371E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E371EF">
        <w:rPr>
          <w:rFonts w:eastAsia="Times New Roman" w:cs="Times New Roman"/>
          <w:noProof/>
          <w:szCs w:val="24"/>
          <w:lang w:val="en-US"/>
        </w:rPr>
        <w:t xml:space="preserve">Hoolachan, J., McKee, K., Moore, T., &amp; Soaita, A. M. (2016). “Generation rent” and the ability to “settle down”: economic and geographical variation in young people’s housing transitions. </w:t>
      </w:r>
      <w:r w:rsidRPr="00E371EF">
        <w:rPr>
          <w:rFonts w:eastAsia="Times New Roman" w:cs="Times New Roman"/>
          <w:i/>
          <w:iCs/>
          <w:noProof/>
          <w:szCs w:val="24"/>
          <w:lang w:val="en-US"/>
        </w:rPr>
        <w:t>Journal of Youth Studies</w:t>
      </w:r>
      <w:r w:rsidRPr="00E371EF">
        <w:rPr>
          <w:rFonts w:eastAsia="Times New Roman" w:cs="Times New Roman"/>
          <w:noProof/>
          <w:szCs w:val="24"/>
          <w:lang w:val="en-US"/>
        </w:rPr>
        <w:t xml:space="preserve">, </w:t>
      </w:r>
      <w:r w:rsidRPr="00E371EF">
        <w:rPr>
          <w:rFonts w:eastAsia="Times New Roman" w:cs="Times New Roman"/>
          <w:i/>
          <w:iCs/>
          <w:noProof/>
          <w:szCs w:val="24"/>
          <w:lang w:val="en-US"/>
        </w:rPr>
        <w:t>0</w:t>
      </w:r>
      <w:r w:rsidRPr="00E371EF">
        <w:rPr>
          <w:rFonts w:eastAsia="Times New Roman" w:cs="Times New Roman"/>
          <w:noProof/>
          <w:szCs w:val="24"/>
          <w:lang w:val="en-US"/>
        </w:rPr>
        <w:t xml:space="preserve">(OnlineFirst), 1–16. </w:t>
      </w:r>
      <w:hyperlink r:id="rId23" w:history="1">
        <w:r w:rsidRPr="00E371EF">
          <w:rPr>
            <w:rStyle w:val="Hyperlink"/>
            <w:rFonts w:eastAsia="Times New Roman" w:cs="Times New Roman"/>
            <w:noProof/>
            <w:color w:val="auto"/>
            <w:szCs w:val="24"/>
            <w:u w:val="none"/>
            <w:lang w:val="en-US"/>
          </w:rPr>
          <w:t>http://doi.org/10.1080/13676261.2016.1184241</w:t>
        </w:r>
      </w:hyperlink>
    </w:p>
    <w:p w14:paraId="51E0B1AD" w14:textId="77777777" w:rsidR="001D7571" w:rsidRPr="001D7571" w:rsidRDefault="001D7571" w:rsidP="00E371E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4E2FB34C" w14:textId="340D1509" w:rsidR="001D7571" w:rsidRDefault="001D7571" w:rsidP="00A83AE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A83AE5">
        <w:rPr>
          <w:rFonts w:eastAsia="Times New Roman" w:cs="Times New Roman"/>
          <w:noProof/>
          <w:szCs w:val="24"/>
          <w:lang w:val="en-US"/>
        </w:rPr>
        <w:t xml:space="preserve">Hoolachan, J., McKee, K., Moore, T., &amp; Soaita, A. M. (2016). “Generation rent” and the ability to “settle down”: economic and geographical variation in young people’s housing transitions. </w:t>
      </w:r>
      <w:r w:rsidRPr="00A83AE5">
        <w:rPr>
          <w:rFonts w:eastAsia="Times New Roman" w:cs="Times New Roman"/>
          <w:i/>
          <w:iCs/>
          <w:noProof/>
          <w:szCs w:val="24"/>
          <w:lang w:val="en-US"/>
        </w:rPr>
        <w:t>Journal of Youth Studies</w:t>
      </w:r>
      <w:r w:rsidRPr="00A83AE5">
        <w:rPr>
          <w:rFonts w:eastAsia="Times New Roman" w:cs="Times New Roman"/>
          <w:noProof/>
          <w:szCs w:val="24"/>
          <w:lang w:val="en-US"/>
        </w:rPr>
        <w:t xml:space="preserve">, </w:t>
      </w:r>
      <w:r w:rsidRPr="00A83AE5">
        <w:rPr>
          <w:rFonts w:eastAsia="Times New Roman" w:cs="Times New Roman"/>
          <w:i/>
          <w:iCs/>
          <w:noProof/>
          <w:szCs w:val="24"/>
          <w:lang w:val="en-US"/>
        </w:rPr>
        <w:t>0</w:t>
      </w:r>
      <w:r w:rsidRPr="00A83AE5">
        <w:rPr>
          <w:rFonts w:eastAsia="Times New Roman" w:cs="Times New Roman"/>
          <w:noProof/>
          <w:szCs w:val="24"/>
          <w:lang w:val="en-US"/>
        </w:rPr>
        <w:t xml:space="preserve">(OnlineFirst), 1–16. </w:t>
      </w:r>
      <w:hyperlink r:id="rId24" w:history="1">
        <w:r w:rsidRPr="00A83AE5">
          <w:rPr>
            <w:rStyle w:val="Hyperlink"/>
            <w:rFonts w:eastAsia="Times New Roman" w:cs="Times New Roman"/>
            <w:noProof/>
            <w:color w:val="auto"/>
            <w:szCs w:val="24"/>
            <w:u w:val="none"/>
            <w:lang w:val="en-US"/>
          </w:rPr>
          <w:t>http://doi.org/10.1080/13676261.2016.1184241</w:t>
        </w:r>
      </w:hyperlink>
    </w:p>
    <w:p w14:paraId="74ECD647" w14:textId="77777777" w:rsidR="001D7571" w:rsidRPr="001D7571" w:rsidRDefault="001D7571" w:rsidP="00A83AE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16FE4DAB" w14:textId="2174D688" w:rsidR="001D7571" w:rsidRDefault="001D7571" w:rsidP="004226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4226FF">
        <w:rPr>
          <w:rFonts w:eastAsia="Times New Roman" w:cs="Times New Roman"/>
          <w:noProof/>
          <w:szCs w:val="24"/>
          <w:lang w:val="en-US"/>
        </w:rPr>
        <w:lastRenderedPageBreak/>
        <w:t xml:space="preserve">Kennett, P., Forrest, R. </w:t>
      </w:r>
      <w:r w:rsidRPr="001D7571">
        <w:rPr>
          <w:rFonts w:eastAsia="Times New Roman" w:cs="Times New Roman"/>
          <w:noProof/>
          <w:szCs w:val="24"/>
          <w:lang w:val="en-US"/>
        </w:rPr>
        <w:t>A.</w:t>
      </w:r>
      <w:r w:rsidRPr="004226FF">
        <w:rPr>
          <w:rFonts w:eastAsia="Times New Roman" w:cs="Times New Roman"/>
          <w:noProof/>
          <w:szCs w:val="24"/>
          <w:lang w:val="en-US"/>
        </w:rPr>
        <w:t xml:space="preserve"> Y., &amp; Marsh, A. (2013). The Global Economic Crisis and the Reshaping of Housing Opportunities. </w:t>
      </w:r>
      <w:r w:rsidRPr="004226FF">
        <w:rPr>
          <w:rFonts w:eastAsia="Times New Roman" w:cs="Times New Roman"/>
          <w:i/>
          <w:iCs/>
          <w:noProof/>
          <w:szCs w:val="24"/>
          <w:lang w:val="en-US"/>
        </w:rPr>
        <w:t>Housing, Theory and Society</w:t>
      </w:r>
      <w:r w:rsidRPr="004226FF">
        <w:rPr>
          <w:rFonts w:eastAsia="Times New Roman" w:cs="Times New Roman"/>
          <w:noProof/>
          <w:szCs w:val="24"/>
          <w:lang w:val="en-US"/>
        </w:rPr>
        <w:t xml:space="preserve">, </w:t>
      </w:r>
      <w:r w:rsidRPr="004226FF">
        <w:rPr>
          <w:rFonts w:eastAsia="Times New Roman" w:cs="Times New Roman"/>
          <w:i/>
          <w:iCs/>
          <w:noProof/>
          <w:szCs w:val="24"/>
          <w:lang w:val="en-US"/>
        </w:rPr>
        <w:t>30</w:t>
      </w:r>
      <w:r w:rsidRPr="004226FF">
        <w:rPr>
          <w:rFonts w:eastAsia="Times New Roman" w:cs="Times New Roman"/>
          <w:noProof/>
          <w:szCs w:val="24"/>
          <w:lang w:val="en-US"/>
        </w:rPr>
        <w:t xml:space="preserve">(1), 10–28. </w:t>
      </w:r>
      <w:hyperlink r:id="rId25" w:history="1">
        <w:r w:rsidRPr="004226FF">
          <w:rPr>
            <w:rStyle w:val="Hyperlink"/>
            <w:rFonts w:eastAsia="Times New Roman" w:cs="Times New Roman"/>
            <w:noProof/>
            <w:color w:val="auto"/>
            <w:szCs w:val="24"/>
            <w:u w:val="none"/>
            <w:lang w:val="en-US"/>
          </w:rPr>
          <w:t>http://doi.org/10.1080/14036096.2012.683292</w:t>
        </w:r>
      </w:hyperlink>
    </w:p>
    <w:p w14:paraId="1A56DEA6" w14:textId="77777777" w:rsidR="001D7571" w:rsidRPr="001D7571" w:rsidRDefault="001D7571" w:rsidP="004226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34F6518B" w14:textId="11A84579" w:rsid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57118">
        <w:rPr>
          <w:rFonts w:eastAsia="Times New Roman" w:cs="Times New Roman"/>
          <w:noProof/>
          <w:szCs w:val="24"/>
          <w:lang w:val="en-US"/>
        </w:rPr>
        <w:t xml:space="preserve">Khan, P. A. M., Mahamud, R., &amp; Kamaruddin, P. M. N. (2012). Proceedings from 3rd International Conference on Business and Economic. In </w:t>
      </w:r>
      <w:r w:rsidRPr="00D57118">
        <w:rPr>
          <w:rFonts w:eastAsia="Times New Roman" w:cs="Times New Roman"/>
          <w:i/>
          <w:iCs/>
          <w:noProof/>
          <w:szCs w:val="24"/>
          <w:lang w:val="en-US"/>
        </w:rPr>
        <w:t>An Overview of Housing Affordability for First Time Home Buyer in Malaysia</w:t>
      </w:r>
      <w:r w:rsidRPr="00D57118">
        <w:rPr>
          <w:rFonts w:eastAsia="Times New Roman" w:cs="Times New Roman"/>
          <w:noProof/>
          <w:szCs w:val="24"/>
          <w:lang w:val="en-US"/>
        </w:rPr>
        <w:t xml:space="preserve"> (pp. 388–400).</w:t>
      </w:r>
    </w:p>
    <w:p w14:paraId="7F7DEB26" w14:textId="77777777" w:rsidR="001D7571" w:rsidRP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8A312B7" w14:textId="1CB319DA" w:rsidR="001D7571" w:rsidRDefault="001D7571" w:rsidP="002251AC">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251AC">
        <w:rPr>
          <w:rFonts w:eastAsia="Times New Roman" w:cs="Times New Roman"/>
          <w:noProof/>
          <w:szCs w:val="24"/>
          <w:lang w:val="en-US"/>
        </w:rPr>
        <w:t xml:space="preserve">Khazanah Research Institute. (2015). </w:t>
      </w:r>
      <w:r w:rsidRPr="002251AC">
        <w:rPr>
          <w:rFonts w:eastAsia="Times New Roman" w:cs="Times New Roman"/>
          <w:i/>
          <w:iCs/>
          <w:noProof/>
          <w:szCs w:val="24"/>
          <w:lang w:val="en-US"/>
        </w:rPr>
        <w:t>Making housing affordable</w:t>
      </w:r>
      <w:r w:rsidRPr="002251AC">
        <w:rPr>
          <w:rFonts w:eastAsia="Times New Roman" w:cs="Times New Roman"/>
          <w:noProof/>
          <w:szCs w:val="24"/>
          <w:lang w:val="en-US"/>
        </w:rPr>
        <w:t>. Kuala Lumpur.</w:t>
      </w:r>
    </w:p>
    <w:p w14:paraId="1DF37C37" w14:textId="77777777" w:rsidR="001D7571" w:rsidRPr="002251AC" w:rsidRDefault="001D7571" w:rsidP="002251AC">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5311F2C9" w14:textId="20F1106A" w:rsidR="001D7571" w:rsidRDefault="001D7571" w:rsidP="004F15D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4F15DD">
        <w:rPr>
          <w:rFonts w:eastAsia="Times New Roman" w:cs="Times New Roman"/>
          <w:noProof/>
          <w:szCs w:val="24"/>
          <w:lang w:val="en-US"/>
        </w:rPr>
        <w:t xml:space="preserve">Lee, S., Parrott, K. R., &amp; Ahn, M. (2012). Exploring housing challenges of low-income minorities in the Southern United States. </w:t>
      </w:r>
      <w:r w:rsidRPr="004F15DD">
        <w:rPr>
          <w:rFonts w:eastAsia="Times New Roman" w:cs="Times New Roman"/>
          <w:i/>
          <w:iCs/>
          <w:noProof/>
          <w:szCs w:val="24"/>
          <w:lang w:val="en-US"/>
        </w:rPr>
        <w:t>American Housing Survey User Conference</w:t>
      </w:r>
      <w:r w:rsidRPr="004F15DD">
        <w:rPr>
          <w:rFonts w:eastAsia="Times New Roman" w:cs="Times New Roman"/>
          <w:noProof/>
          <w:szCs w:val="24"/>
          <w:lang w:val="en-US"/>
        </w:rPr>
        <w:t xml:space="preserve">, </w:t>
      </w:r>
      <w:r w:rsidRPr="004F15DD">
        <w:rPr>
          <w:rFonts w:eastAsia="Times New Roman" w:cs="Times New Roman"/>
          <w:i/>
          <w:iCs/>
          <w:noProof/>
          <w:szCs w:val="24"/>
          <w:lang w:val="en-US"/>
        </w:rPr>
        <w:t>14</w:t>
      </w:r>
      <w:r w:rsidRPr="004F15DD">
        <w:rPr>
          <w:rFonts w:eastAsia="Times New Roman" w:cs="Times New Roman"/>
          <w:noProof/>
          <w:szCs w:val="24"/>
          <w:lang w:val="en-US"/>
        </w:rPr>
        <w:t>(1), 73–98.</w:t>
      </w:r>
    </w:p>
    <w:p w14:paraId="5B0F8274" w14:textId="77777777" w:rsidR="001D7571" w:rsidRPr="004F15DD" w:rsidRDefault="001D7571" w:rsidP="004F15DD">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729BEFF8" w14:textId="7D0C9512" w:rsidR="001D7571" w:rsidRDefault="001D7571" w:rsidP="004226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4226FF">
        <w:rPr>
          <w:rFonts w:eastAsia="Times New Roman" w:cs="Times New Roman"/>
          <w:noProof/>
          <w:szCs w:val="24"/>
          <w:lang w:val="en-US"/>
        </w:rPr>
        <w:t>Lennartz, C., Arundel, R., &amp; Ronald, R. (201</w:t>
      </w:r>
      <w:r w:rsidRPr="001D7571">
        <w:rPr>
          <w:rFonts w:eastAsia="Times New Roman" w:cs="Times New Roman"/>
          <w:noProof/>
          <w:szCs w:val="24"/>
          <w:lang w:val="en-US"/>
        </w:rPr>
        <w:t>6</w:t>
      </w:r>
      <w:r w:rsidRPr="004226FF">
        <w:rPr>
          <w:rFonts w:eastAsia="Times New Roman" w:cs="Times New Roman"/>
          <w:noProof/>
          <w:szCs w:val="24"/>
          <w:lang w:val="en-US"/>
        </w:rPr>
        <w:t xml:space="preserve">). Younger adults and homeownership in Europe through the global financial crisis. </w:t>
      </w:r>
      <w:r w:rsidRPr="004226FF">
        <w:rPr>
          <w:rFonts w:eastAsia="Times New Roman" w:cs="Times New Roman"/>
          <w:i/>
          <w:iCs/>
          <w:noProof/>
          <w:szCs w:val="24"/>
          <w:lang w:val="en-US"/>
        </w:rPr>
        <w:t>Population, Space and Place</w:t>
      </w:r>
      <w:r w:rsidRPr="004226FF">
        <w:rPr>
          <w:rFonts w:eastAsia="Times New Roman" w:cs="Times New Roman"/>
          <w:noProof/>
          <w:szCs w:val="24"/>
          <w:lang w:val="en-US"/>
        </w:rPr>
        <w:t xml:space="preserve">, Advance online publication. </w:t>
      </w:r>
      <w:hyperlink r:id="rId26" w:history="1">
        <w:r w:rsidRPr="004226FF">
          <w:rPr>
            <w:rStyle w:val="Hyperlink"/>
            <w:rFonts w:eastAsia="Times New Roman" w:cs="Times New Roman"/>
            <w:noProof/>
            <w:color w:val="auto"/>
            <w:szCs w:val="24"/>
            <w:u w:val="none"/>
            <w:lang w:val="en-US"/>
          </w:rPr>
          <w:t>http://doi.org/10.1002/psp.1961</w:t>
        </w:r>
      </w:hyperlink>
    </w:p>
    <w:p w14:paraId="66BFDA2F" w14:textId="77777777" w:rsidR="001D7571" w:rsidRPr="001D7571" w:rsidRDefault="001D7571" w:rsidP="004226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351ECF6" w14:textId="692226A5" w:rsid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57118">
        <w:rPr>
          <w:rFonts w:eastAsia="Times New Roman" w:cs="Times New Roman"/>
          <w:noProof/>
          <w:szCs w:val="24"/>
          <w:lang w:val="en-US"/>
        </w:rPr>
        <w:t xml:space="preserve">Li, R. Y.  (2015). Generation X and Ys demand for homeownership in Hong Kong. </w:t>
      </w:r>
      <w:r w:rsidRPr="00D57118">
        <w:rPr>
          <w:rFonts w:eastAsia="Times New Roman" w:cs="Times New Roman"/>
          <w:i/>
          <w:iCs/>
          <w:noProof/>
          <w:szCs w:val="24"/>
          <w:lang w:val="en-US"/>
        </w:rPr>
        <w:t>Pacific Rim Property Research Journal</w:t>
      </w:r>
      <w:r w:rsidRPr="00D57118">
        <w:rPr>
          <w:rFonts w:eastAsia="Times New Roman" w:cs="Times New Roman"/>
          <w:noProof/>
          <w:szCs w:val="24"/>
          <w:lang w:val="en-US"/>
        </w:rPr>
        <w:t xml:space="preserve">, </w:t>
      </w:r>
      <w:r w:rsidRPr="00D57118">
        <w:rPr>
          <w:rFonts w:eastAsia="Times New Roman" w:cs="Times New Roman"/>
          <w:i/>
          <w:iCs/>
          <w:noProof/>
          <w:szCs w:val="24"/>
          <w:lang w:val="en-US"/>
        </w:rPr>
        <w:t>21</w:t>
      </w:r>
      <w:r w:rsidRPr="00D57118">
        <w:rPr>
          <w:rFonts w:eastAsia="Times New Roman" w:cs="Times New Roman"/>
          <w:noProof/>
          <w:szCs w:val="24"/>
          <w:lang w:val="en-US"/>
        </w:rPr>
        <w:t xml:space="preserve">(1), 15–36. </w:t>
      </w:r>
      <w:hyperlink r:id="rId27" w:history="1">
        <w:r w:rsidRPr="00D57118">
          <w:rPr>
            <w:rStyle w:val="Hyperlink"/>
            <w:rFonts w:eastAsia="Times New Roman" w:cs="Times New Roman"/>
            <w:noProof/>
            <w:color w:val="auto"/>
            <w:szCs w:val="24"/>
            <w:u w:val="none"/>
            <w:lang w:val="en-US"/>
          </w:rPr>
          <w:t>http://doi.org/10.1080/14445921.2015.1026195</w:t>
        </w:r>
      </w:hyperlink>
    </w:p>
    <w:p w14:paraId="5E318585" w14:textId="77777777" w:rsidR="001D7571" w:rsidRP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58FC7A8C" w14:textId="2CDC29A4" w:rsidR="001D7571" w:rsidRDefault="001D7571" w:rsidP="0045323A">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GB"/>
        </w:rPr>
      </w:pPr>
      <w:r w:rsidRPr="0045323A">
        <w:rPr>
          <w:rFonts w:eastAsia="Times New Roman" w:cs="Times New Roman"/>
          <w:noProof/>
          <w:szCs w:val="24"/>
          <w:lang w:val="en-GB"/>
        </w:rPr>
        <w:t xml:space="preserve">Majid, R. A., Said, R., &amp; Daud, N. (2014). The Assessment of Young Couples' Behaviour on Expenditure Towards Homeownership. </w:t>
      </w:r>
      <w:r w:rsidRPr="0045323A">
        <w:rPr>
          <w:rFonts w:eastAsia="Times New Roman" w:cs="Times New Roman"/>
          <w:i/>
          <w:iCs/>
          <w:noProof/>
          <w:szCs w:val="24"/>
          <w:lang w:val="en-GB"/>
        </w:rPr>
        <w:t>International Surveying Research Journal</w:t>
      </w:r>
      <w:r w:rsidRPr="0045323A">
        <w:rPr>
          <w:rFonts w:eastAsia="Times New Roman" w:cs="Times New Roman"/>
          <w:noProof/>
          <w:szCs w:val="24"/>
          <w:lang w:val="en-GB"/>
        </w:rPr>
        <w:t xml:space="preserve">, </w:t>
      </w:r>
      <w:r w:rsidRPr="0045323A">
        <w:rPr>
          <w:rFonts w:eastAsia="Times New Roman" w:cs="Times New Roman"/>
          <w:i/>
          <w:iCs/>
          <w:noProof/>
          <w:szCs w:val="24"/>
          <w:lang w:val="en-GB"/>
        </w:rPr>
        <w:t>4</w:t>
      </w:r>
      <w:r w:rsidRPr="0045323A">
        <w:rPr>
          <w:rFonts w:eastAsia="Times New Roman" w:cs="Times New Roman"/>
          <w:noProof/>
          <w:szCs w:val="24"/>
          <w:lang w:val="en-GB"/>
        </w:rPr>
        <w:t>(2), 35–50.</w:t>
      </w:r>
    </w:p>
    <w:p w14:paraId="153648C1" w14:textId="77777777" w:rsidR="001D7571" w:rsidRPr="001D7571" w:rsidRDefault="001D7571" w:rsidP="0045323A">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GB"/>
        </w:rPr>
      </w:pPr>
    </w:p>
    <w:p w14:paraId="68F63D40" w14:textId="4870E6E7" w:rsidR="001D7571" w:rsidRDefault="001D7571" w:rsidP="0048074F">
      <w:pPr>
        <w:widowControl w:val="0"/>
        <w:autoSpaceDE w:val="0"/>
        <w:autoSpaceDN w:val="0"/>
        <w:adjustRightInd w:val="0"/>
        <w:spacing w:beforeLines="240" w:before="576" w:afterLines="240" w:after="576" w:line="240" w:lineRule="auto"/>
        <w:ind w:left="720" w:hanging="720"/>
        <w:contextualSpacing/>
        <w:rPr>
          <w:rFonts w:eastAsia="Times New Roman" w:cs="Times New Roman"/>
          <w:iCs/>
          <w:noProof/>
          <w:szCs w:val="24"/>
          <w:lang w:val="en-US"/>
        </w:rPr>
      </w:pPr>
      <w:r w:rsidRPr="0048074F">
        <w:rPr>
          <w:rFonts w:eastAsia="Times New Roman" w:cs="Times New Roman"/>
          <w:noProof/>
          <w:szCs w:val="24"/>
          <w:lang w:val="en-US"/>
        </w:rPr>
        <w:t xml:space="preserve">McKee, K., &amp; Hoolachan, J. (2015). </w:t>
      </w:r>
      <w:r w:rsidRPr="0048074F">
        <w:rPr>
          <w:rFonts w:eastAsia="Times New Roman" w:cs="Times New Roman"/>
          <w:i/>
          <w:iCs/>
          <w:noProof/>
          <w:szCs w:val="24"/>
          <w:lang w:val="en-US"/>
        </w:rPr>
        <w:t>Housing Generation Rent What are the Challenges for Housing Policy in Scotland ?</w:t>
      </w:r>
      <w:r w:rsidRPr="0048074F">
        <w:rPr>
          <w:rFonts w:eastAsia="Times New Roman" w:cs="Times New Roman"/>
          <w:iCs/>
          <w:noProof/>
          <w:szCs w:val="24"/>
          <w:lang w:val="en-US"/>
        </w:rPr>
        <w:t xml:space="preserve"> Centre for Housing Research. University of St Andrews</w:t>
      </w:r>
    </w:p>
    <w:p w14:paraId="5CB3CFB8" w14:textId="7934BF39" w:rsidR="00E17FE9" w:rsidRDefault="00E17FE9" w:rsidP="00F26D7F">
      <w:pPr>
        <w:widowControl w:val="0"/>
        <w:autoSpaceDE w:val="0"/>
        <w:autoSpaceDN w:val="0"/>
        <w:adjustRightInd w:val="0"/>
        <w:spacing w:beforeLines="240" w:before="576" w:afterLines="240" w:after="576" w:line="240" w:lineRule="auto"/>
        <w:contextualSpacing/>
        <w:rPr>
          <w:rFonts w:eastAsia="Times New Roman" w:cs="Times New Roman"/>
          <w:iCs/>
          <w:noProof/>
          <w:szCs w:val="24"/>
          <w:lang w:val="en-US"/>
        </w:rPr>
      </w:pPr>
    </w:p>
    <w:p w14:paraId="7798F7CC" w14:textId="2D90858E" w:rsidR="00E17FE9" w:rsidRPr="00F26D7F" w:rsidRDefault="00E17FE9" w:rsidP="0048074F">
      <w:pPr>
        <w:widowControl w:val="0"/>
        <w:autoSpaceDE w:val="0"/>
        <w:autoSpaceDN w:val="0"/>
        <w:adjustRightInd w:val="0"/>
        <w:spacing w:beforeLines="240" w:before="576" w:afterLines="240" w:after="576" w:line="240" w:lineRule="auto"/>
        <w:ind w:left="720" w:hanging="720"/>
        <w:contextualSpacing/>
        <w:rPr>
          <w:rFonts w:eastAsia="Times New Roman" w:cs="Times New Roman"/>
          <w:i/>
          <w:iCs/>
          <w:noProof/>
          <w:szCs w:val="24"/>
          <w:lang w:val="en-US"/>
        </w:rPr>
      </w:pPr>
      <w:r>
        <w:rPr>
          <w:rFonts w:eastAsia="Times New Roman" w:cs="Times New Roman"/>
          <w:iCs/>
          <w:noProof/>
          <w:szCs w:val="24"/>
          <w:lang w:val="en-US"/>
        </w:rPr>
        <w:t xml:space="preserve">Mahazril ‘Aini. (2017). </w:t>
      </w:r>
      <w:r w:rsidR="00F26D7F">
        <w:rPr>
          <w:rFonts w:eastAsia="Times New Roman" w:cs="Times New Roman"/>
          <w:iCs/>
          <w:noProof/>
          <w:szCs w:val="24"/>
          <w:lang w:val="en-US"/>
        </w:rPr>
        <w:t xml:space="preserve">Housing for young people: What are their opportunities?. </w:t>
      </w:r>
      <w:r w:rsidR="00F26D7F" w:rsidRPr="00F26D7F">
        <w:rPr>
          <w:rFonts w:eastAsia="Times New Roman" w:cs="Times New Roman"/>
          <w:i/>
          <w:iCs/>
          <w:noProof/>
          <w:szCs w:val="24"/>
          <w:lang w:val="en-US"/>
        </w:rPr>
        <w:t xml:space="preserve">Social and Management Research Journal, </w:t>
      </w:r>
      <w:r w:rsidR="00F26D7F">
        <w:rPr>
          <w:rFonts w:eastAsia="Times New Roman" w:cs="Times New Roman"/>
          <w:i/>
          <w:iCs/>
          <w:noProof/>
          <w:szCs w:val="24"/>
          <w:lang w:val="en-US"/>
        </w:rPr>
        <w:t>Vol 14(2), 1-15.</w:t>
      </w:r>
    </w:p>
    <w:p w14:paraId="1BADE5FE" w14:textId="77777777" w:rsidR="001D7571" w:rsidRPr="0048074F" w:rsidRDefault="001D7571" w:rsidP="0048074F">
      <w:pPr>
        <w:widowControl w:val="0"/>
        <w:autoSpaceDE w:val="0"/>
        <w:autoSpaceDN w:val="0"/>
        <w:adjustRightInd w:val="0"/>
        <w:spacing w:beforeLines="240" w:before="576" w:afterLines="240" w:after="576" w:line="240" w:lineRule="auto"/>
        <w:ind w:left="720" w:hanging="720"/>
        <w:contextualSpacing/>
        <w:rPr>
          <w:rFonts w:eastAsia="Times New Roman" w:cs="Times New Roman"/>
          <w:i/>
          <w:iCs/>
          <w:noProof/>
          <w:szCs w:val="24"/>
          <w:lang w:val="en-US"/>
        </w:rPr>
      </w:pPr>
    </w:p>
    <w:p w14:paraId="4998ABC6" w14:textId="795D0588" w:rsidR="001D7571" w:rsidRDefault="001D7571" w:rsidP="00E509F7">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E509F7">
        <w:rPr>
          <w:rFonts w:eastAsia="Times New Roman" w:cs="Times New Roman"/>
          <w:noProof/>
          <w:szCs w:val="24"/>
          <w:lang w:val="en-US"/>
        </w:rPr>
        <w:t xml:space="preserve">Ministry of Finance, M. (2016). </w:t>
      </w:r>
      <w:r w:rsidRPr="00E509F7">
        <w:rPr>
          <w:rFonts w:eastAsia="Times New Roman" w:cs="Times New Roman"/>
          <w:i/>
          <w:iCs/>
          <w:noProof/>
          <w:szCs w:val="24"/>
          <w:lang w:val="en-US"/>
        </w:rPr>
        <w:t>2016 Budget</w:t>
      </w:r>
      <w:r w:rsidRPr="00E509F7">
        <w:rPr>
          <w:rFonts w:eastAsia="Times New Roman" w:cs="Times New Roman"/>
          <w:noProof/>
          <w:szCs w:val="24"/>
          <w:lang w:val="en-US"/>
        </w:rPr>
        <w:t xml:space="preserve">. Retrieved from </w:t>
      </w:r>
      <w:hyperlink r:id="rId28" w:history="1">
        <w:r w:rsidRPr="00E509F7">
          <w:rPr>
            <w:rStyle w:val="Hyperlink"/>
            <w:rFonts w:eastAsia="Times New Roman" w:cs="Times New Roman"/>
            <w:noProof/>
            <w:color w:val="auto"/>
            <w:szCs w:val="24"/>
            <w:u w:val="none"/>
            <w:lang w:val="en-US"/>
          </w:rPr>
          <w:t>http://www.bnm.gov.my</w:t>
        </w:r>
      </w:hyperlink>
    </w:p>
    <w:p w14:paraId="00AA1E75" w14:textId="77777777" w:rsidR="001D7571" w:rsidRPr="001D7571" w:rsidRDefault="001D7571" w:rsidP="00E509F7">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01029783" w14:textId="77777777" w:rsidR="001D7571" w:rsidRPr="001D7571" w:rsidRDefault="001D7571" w:rsidP="00DA204C">
      <w:pPr>
        <w:widowControl w:val="0"/>
        <w:autoSpaceDE w:val="0"/>
        <w:autoSpaceDN w:val="0"/>
        <w:adjustRightInd w:val="0"/>
        <w:spacing w:beforeLines="240" w:before="576" w:afterLines="240" w:after="576" w:line="240" w:lineRule="auto"/>
        <w:ind w:left="720" w:hanging="720"/>
      </w:pPr>
      <w:r w:rsidRPr="001D7571">
        <w:rPr>
          <w:rFonts w:eastAsia="Times New Roman" w:cs="Times New Roman"/>
          <w:noProof/>
          <w:szCs w:val="24"/>
          <w:lang w:val="en-US"/>
        </w:rPr>
        <w:t>Ministry of Urban Well-being, Housing and Local Government (MUWHLG). (2016). Urban development</w:t>
      </w:r>
      <w:r w:rsidRPr="001D7571">
        <w:rPr>
          <w:rFonts w:eastAsia="Times New Roman" w:cs="Times New Roman"/>
          <w:i/>
          <w:noProof/>
          <w:szCs w:val="24"/>
          <w:lang w:val="en-US"/>
        </w:rPr>
        <w:t xml:space="preserve">. </w:t>
      </w:r>
      <w:r w:rsidRPr="001D7571">
        <w:rPr>
          <w:rFonts w:eastAsia="Times New Roman" w:cs="Times New Roman"/>
          <w:noProof/>
          <w:szCs w:val="24"/>
          <w:lang w:val="en-US"/>
        </w:rPr>
        <w:t>Retrieved from http://www.</w:t>
      </w:r>
      <w:r w:rsidRPr="001D7571">
        <w:t xml:space="preserve"> kpkt.gov.my/</w:t>
      </w:r>
    </w:p>
    <w:p w14:paraId="5B7B2221" w14:textId="77777777" w:rsidR="001D7571" w:rsidRPr="001D7571" w:rsidRDefault="001D7571" w:rsidP="009D46D3">
      <w:pPr>
        <w:widowControl w:val="0"/>
        <w:autoSpaceDE w:val="0"/>
        <w:autoSpaceDN w:val="0"/>
        <w:adjustRightInd w:val="0"/>
        <w:spacing w:beforeLines="240" w:before="576" w:afterLines="240" w:after="576" w:line="240" w:lineRule="auto"/>
        <w:ind w:left="720" w:hanging="720"/>
      </w:pPr>
      <w:r w:rsidRPr="009D46D3">
        <w:rPr>
          <w:lang w:val="en-US"/>
        </w:rPr>
        <w:t>Ministry of Urban Well-being, Housing and Local Government</w:t>
      </w:r>
      <w:r w:rsidRPr="001D7571">
        <w:rPr>
          <w:lang w:val="en-US"/>
        </w:rPr>
        <w:t xml:space="preserve"> (MUWHLG)</w:t>
      </w:r>
      <w:r w:rsidRPr="009D46D3">
        <w:rPr>
          <w:lang w:val="en-US"/>
        </w:rPr>
        <w:t>. (201</w:t>
      </w:r>
      <w:r w:rsidRPr="001D7571">
        <w:rPr>
          <w:lang w:val="en-US"/>
        </w:rPr>
        <w:t>3</w:t>
      </w:r>
      <w:r w:rsidRPr="009D46D3">
        <w:rPr>
          <w:lang w:val="en-US"/>
        </w:rPr>
        <w:t>). Urban development</w:t>
      </w:r>
      <w:r w:rsidRPr="009D46D3">
        <w:rPr>
          <w:i/>
          <w:lang w:val="en-US"/>
        </w:rPr>
        <w:t xml:space="preserve">. </w:t>
      </w:r>
      <w:r w:rsidRPr="009D46D3">
        <w:rPr>
          <w:lang w:val="en-US"/>
        </w:rPr>
        <w:t>Retrieved from http://www.</w:t>
      </w:r>
      <w:r w:rsidRPr="009D46D3">
        <w:t xml:space="preserve"> kpkt.gov.my/</w:t>
      </w:r>
    </w:p>
    <w:p w14:paraId="1DD925E8" w14:textId="195F1F49" w:rsidR="001D7571" w:rsidRDefault="001D7571" w:rsidP="00F36C8A">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F36C8A">
        <w:rPr>
          <w:rFonts w:eastAsia="Times New Roman" w:cs="Times New Roman"/>
          <w:noProof/>
          <w:szCs w:val="24"/>
          <w:lang w:val="en-US"/>
        </w:rPr>
        <w:t xml:space="preserve">Moreno,  A. (2012). The Transition to Adulthood in Spain in a Comparative Perspective: The Incidence of Structural Factors. </w:t>
      </w:r>
      <w:r w:rsidRPr="00F36C8A">
        <w:rPr>
          <w:rFonts w:eastAsia="Times New Roman" w:cs="Times New Roman"/>
          <w:i/>
          <w:iCs/>
          <w:noProof/>
          <w:szCs w:val="24"/>
          <w:lang w:val="en-US"/>
        </w:rPr>
        <w:t>Young</w:t>
      </w:r>
      <w:r w:rsidRPr="00F36C8A">
        <w:rPr>
          <w:rFonts w:eastAsia="Times New Roman" w:cs="Times New Roman"/>
          <w:noProof/>
          <w:szCs w:val="24"/>
          <w:lang w:val="en-US"/>
        </w:rPr>
        <w:t xml:space="preserve">, </w:t>
      </w:r>
      <w:r w:rsidRPr="00F36C8A">
        <w:rPr>
          <w:rFonts w:eastAsia="Times New Roman" w:cs="Times New Roman"/>
          <w:i/>
          <w:iCs/>
          <w:noProof/>
          <w:szCs w:val="24"/>
          <w:lang w:val="en-US"/>
        </w:rPr>
        <w:t>20</w:t>
      </w:r>
      <w:r w:rsidRPr="00F36C8A">
        <w:rPr>
          <w:rFonts w:eastAsia="Times New Roman" w:cs="Times New Roman"/>
          <w:noProof/>
          <w:szCs w:val="24"/>
          <w:lang w:val="en-US"/>
        </w:rPr>
        <w:t xml:space="preserve">(1), 19–48. </w:t>
      </w:r>
      <w:hyperlink r:id="rId29" w:history="1">
        <w:r w:rsidRPr="00F36C8A">
          <w:rPr>
            <w:rFonts w:eastAsia="Times New Roman" w:cs="Times New Roman"/>
            <w:noProof/>
            <w:szCs w:val="24"/>
            <w:lang w:val="en-US"/>
          </w:rPr>
          <w:t>http://doi.org/10.1177/110330881102000102</w:t>
        </w:r>
      </w:hyperlink>
    </w:p>
    <w:p w14:paraId="713FF082" w14:textId="77777777" w:rsidR="001D7571" w:rsidRPr="001D7571" w:rsidRDefault="001D7571" w:rsidP="00F36C8A">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2E8FF306" w14:textId="7F554CC8" w:rsidR="001D7571" w:rsidRPr="001D7571" w:rsidRDefault="001D7571" w:rsidP="00E509F7">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E509F7">
        <w:rPr>
          <w:rFonts w:eastAsia="Times New Roman" w:cs="Times New Roman"/>
          <w:noProof/>
          <w:szCs w:val="24"/>
          <w:lang w:val="en-US"/>
        </w:rPr>
        <w:t>National Housing Department. National Housing Policy, National Housing Policy 1–50 (201</w:t>
      </w:r>
      <w:r w:rsidRPr="001D7571">
        <w:rPr>
          <w:rFonts w:eastAsia="Times New Roman" w:cs="Times New Roman"/>
          <w:noProof/>
          <w:szCs w:val="24"/>
          <w:lang w:val="en-US"/>
        </w:rPr>
        <w:t>6</w:t>
      </w:r>
      <w:r w:rsidRPr="00E509F7">
        <w:rPr>
          <w:rFonts w:eastAsia="Times New Roman" w:cs="Times New Roman"/>
          <w:noProof/>
          <w:szCs w:val="24"/>
          <w:lang w:val="en-US"/>
        </w:rPr>
        <w:t>).</w:t>
      </w:r>
      <w:r w:rsidRPr="001D7571">
        <w:rPr>
          <w:rFonts w:eastAsia="Times New Roman" w:cs="Times New Roman"/>
          <w:noProof/>
          <w:szCs w:val="24"/>
          <w:lang w:val="en-US"/>
        </w:rPr>
        <w:t xml:space="preserve"> Retrieved from </w:t>
      </w:r>
      <w:hyperlink r:id="rId30" w:history="1">
        <w:r w:rsidRPr="001D7571">
          <w:rPr>
            <w:rStyle w:val="Hyperlink"/>
            <w:rFonts w:eastAsia="Times New Roman" w:cs="Times New Roman"/>
            <w:noProof/>
            <w:color w:val="auto"/>
            <w:szCs w:val="24"/>
            <w:u w:val="none"/>
            <w:lang w:val="en-US"/>
          </w:rPr>
          <w:t>http://www.nhd.gov.my</w:t>
        </w:r>
      </w:hyperlink>
    </w:p>
    <w:p w14:paraId="7873F276" w14:textId="77777777" w:rsidR="001D7571" w:rsidRPr="00E509F7" w:rsidRDefault="001D7571" w:rsidP="00E509F7">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36AFA6E" w14:textId="5F2FCD80" w:rsidR="001D7571" w:rsidRPr="001D7571" w:rsidRDefault="001D7571" w:rsidP="00761A51">
      <w:pPr>
        <w:widowControl w:val="0"/>
        <w:autoSpaceDE w:val="0"/>
        <w:autoSpaceDN w:val="0"/>
        <w:adjustRightInd w:val="0"/>
        <w:spacing w:after="0" w:line="240" w:lineRule="auto"/>
        <w:ind w:left="480" w:hanging="480"/>
        <w:rPr>
          <w:rFonts w:eastAsia="Calibri" w:cs="Times New Roman"/>
          <w:noProof/>
          <w:szCs w:val="24"/>
          <w:lang w:val="en-US"/>
        </w:rPr>
      </w:pPr>
      <w:r w:rsidRPr="00761A51">
        <w:rPr>
          <w:rFonts w:eastAsia="Calibri" w:cs="Times New Roman"/>
          <w:noProof/>
          <w:szCs w:val="24"/>
          <w:lang w:val="en-US"/>
        </w:rPr>
        <w:t xml:space="preserve">National Property Information Centre. (2016). </w:t>
      </w:r>
      <w:r w:rsidRPr="00761A51">
        <w:rPr>
          <w:rFonts w:eastAsia="Calibri" w:cs="Times New Roman"/>
          <w:i/>
          <w:noProof/>
          <w:szCs w:val="24"/>
          <w:lang w:val="en-US"/>
        </w:rPr>
        <w:t>The Malaysian House Price Index.</w:t>
      </w:r>
      <w:r w:rsidRPr="00761A51">
        <w:rPr>
          <w:rFonts w:eastAsia="Calibri" w:cs="Times New Roman"/>
          <w:noProof/>
          <w:szCs w:val="24"/>
          <w:lang w:val="en-US"/>
        </w:rPr>
        <w:t xml:space="preserve"> NAPIC. </w:t>
      </w:r>
      <w:r w:rsidRPr="00761A51">
        <w:rPr>
          <w:rFonts w:eastAsia="Calibri" w:cs="Times New Roman"/>
          <w:noProof/>
          <w:szCs w:val="24"/>
          <w:lang w:val="en-US"/>
        </w:rPr>
        <w:lastRenderedPageBreak/>
        <w:t xml:space="preserve">Retrieved from </w:t>
      </w:r>
      <w:hyperlink r:id="rId31" w:history="1">
        <w:r w:rsidRPr="00761A51">
          <w:rPr>
            <w:rStyle w:val="Hyperlink"/>
            <w:rFonts w:eastAsia="Calibri" w:cs="Times New Roman"/>
            <w:noProof/>
            <w:color w:val="auto"/>
            <w:szCs w:val="24"/>
            <w:u w:val="none"/>
            <w:lang w:val="en-US"/>
          </w:rPr>
          <w:t>http://napic.jpph.gov.my/portal/main</w:t>
        </w:r>
      </w:hyperlink>
    </w:p>
    <w:p w14:paraId="02668565" w14:textId="47EB8A41" w:rsidR="001D7571" w:rsidRDefault="001D7571" w:rsidP="00761A51">
      <w:pPr>
        <w:widowControl w:val="0"/>
        <w:autoSpaceDE w:val="0"/>
        <w:autoSpaceDN w:val="0"/>
        <w:adjustRightInd w:val="0"/>
        <w:spacing w:after="0" w:line="240" w:lineRule="auto"/>
        <w:ind w:left="480" w:hanging="480"/>
        <w:rPr>
          <w:rFonts w:eastAsia="Calibri" w:cs="Times New Roman"/>
          <w:noProof/>
          <w:szCs w:val="24"/>
          <w:lang w:val="en-US"/>
        </w:rPr>
      </w:pPr>
    </w:p>
    <w:p w14:paraId="3223C8E4" w14:textId="77777777" w:rsidR="001D7571" w:rsidRPr="00761A51" w:rsidRDefault="001D7571" w:rsidP="00761A51">
      <w:pPr>
        <w:widowControl w:val="0"/>
        <w:autoSpaceDE w:val="0"/>
        <w:autoSpaceDN w:val="0"/>
        <w:adjustRightInd w:val="0"/>
        <w:spacing w:after="0" w:line="240" w:lineRule="auto"/>
        <w:ind w:left="480" w:hanging="480"/>
        <w:rPr>
          <w:rFonts w:eastAsia="Calibri" w:cs="Times New Roman"/>
          <w:noProof/>
          <w:szCs w:val="24"/>
          <w:lang w:val="en-US"/>
        </w:rPr>
      </w:pPr>
    </w:p>
    <w:p w14:paraId="1A163238" w14:textId="384EF67D" w:rsidR="001D7571" w:rsidRDefault="001D7571" w:rsidP="00056970">
      <w:pPr>
        <w:widowControl w:val="0"/>
        <w:autoSpaceDE w:val="0"/>
        <w:autoSpaceDN w:val="0"/>
        <w:adjustRightInd w:val="0"/>
        <w:spacing w:after="0" w:line="240" w:lineRule="auto"/>
        <w:ind w:left="480" w:hanging="480"/>
        <w:rPr>
          <w:rFonts w:eastAsia="Calibri" w:cs="Times New Roman"/>
          <w:noProof/>
          <w:szCs w:val="24"/>
          <w:lang w:val="en-US"/>
        </w:rPr>
      </w:pPr>
      <w:r w:rsidRPr="00056970">
        <w:rPr>
          <w:rFonts w:eastAsia="Calibri" w:cs="Times New Roman"/>
          <w:noProof/>
          <w:szCs w:val="24"/>
          <w:lang w:val="en-US"/>
        </w:rPr>
        <w:t xml:space="preserve">National Property Information Centre. (2016). </w:t>
      </w:r>
      <w:r w:rsidRPr="00056970">
        <w:rPr>
          <w:rFonts w:eastAsia="Calibri" w:cs="Times New Roman"/>
          <w:i/>
          <w:noProof/>
          <w:szCs w:val="24"/>
          <w:lang w:val="en-US"/>
        </w:rPr>
        <w:t>The Malaysian House Price Index.</w:t>
      </w:r>
      <w:r w:rsidRPr="00056970">
        <w:rPr>
          <w:rFonts w:eastAsia="Calibri" w:cs="Times New Roman"/>
          <w:noProof/>
          <w:szCs w:val="24"/>
          <w:lang w:val="en-US"/>
        </w:rPr>
        <w:t xml:space="preserve"> NAPIC. Retrieved from </w:t>
      </w:r>
      <w:hyperlink r:id="rId32" w:history="1">
        <w:r w:rsidRPr="00056970">
          <w:rPr>
            <w:rStyle w:val="Hyperlink"/>
            <w:rFonts w:eastAsia="Calibri" w:cs="Times New Roman"/>
            <w:noProof/>
            <w:color w:val="auto"/>
            <w:szCs w:val="24"/>
            <w:u w:val="none"/>
            <w:lang w:val="en-US"/>
          </w:rPr>
          <w:t>http://napic.jpph.gov.my/portal/main</w:t>
        </w:r>
      </w:hyperlink>
    </w:p>
    <w:p w14:paraId="4852DF78" w14:textId="77777777" w:rsidR="001D7571" w:rsidRPr="001D7571" w:rsidRDefault="001D7571" w:rsidP="00056970">
      <w:pPr>
        <w:widowControl w:val="0"/>
        <w:autoSpaceDE w:val="0"/>
        <w:autoSpaceDN w:val="0"/>
        <w:adjustRightInd w:val="0"/>
        <w:spacing w:after="0" w:line="240" w:lineRule="auto"/>
        <w:ind w:left="480" w:hanging="480"/>
        <w:rPr>
          <w:rFonts w:eastAsia="Calibri" w:cs="Times New Roman"/>
          <w:noProof/>
          <w:szCs w:val="24"/>
          <w:lang w:val="en-US"/>
        </w:rPr>
      </w:pPr>
    </w:p>
    <w:p w14:paraId="6091432B" w14:textId="2E53D211" w:rsidR="001D7571" w:rsidRDefault="001D7571" w:rsidP="00CA5C03">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CA5C03">
        <w:rPr>
          <w:rFonts w:eastAsia="Times New Roman" w:cs="Times New Roman"/>
          <w:noProof/>
          <w:szCs w:val="24"/>
          <w:lang w:val="en-US"/>
        </w:rPr>
        <w:t xml:space="preserve">Nor Hartini, S. (2014, September 20). Impian atau realiti golongan muda memiliki rumah. [Dream or reality of young people to have a home]. </w:t>
      </w:r>
      <w:r w:rsidRPr="00CA5C03">
        <w:rPr>
          <w:rFonts w:eastAsia="Times New Roman" w:cs="Times New Roman"/>
          <w:i/>
          <w:noProof/>
          <w:szCs w:val="24"/>
          <w:lang w:val="en-US"/>
        </w:rPr>
        <w:t>Utusanonline.</w:t>
      </w:r>
      <w:r w:rsidRPr="00CA5C03">
        <w:rPr>
          <w:rFonts w:eastAsia="Times New Roman" w:cs="Times New Roman"/>
          <w:noProof/>
          <w:szCs w:val="24"/>
          <w:lang w:val="en-US"/>
        </w:rPr>
        <w:t xml:space="preserve"> Retrieved from </w:t>
      </w:r>
      <w:hyperlink r:id="rId33" w:history="1">
        <w:r w:rsidRPr="00CA5C03">
          <w:rPr>
            <w:rStyle w:val="Hyperlink"/>
            <w:rFonts w:eastAsia="Times New Roman" w:cs="Times New Roman"/>
            <w:noProof/>
            <w:color w:val="auto"/>
            <w:szCs w:val="24"/>
            <w:u w:val="none"/>
            <w:lang w:val="en-US"/>
          </w:rPr>
          <w:t>http://www.ikim.gov.my/index.php/en/utusan-malaysia/9024-impian-atau-realiti-golongan-muda-memiliki-rumah</w:t>
        </w:r>
      </w:hyperlink>
      <w:r w:rsidRPr="00CA5C03">
        <w:rPr>
          <w:rFonts w:eastAsia="Times New Roman" w:cs="Times New Roman"/>
          <w:noProof/>
          <w:szCs w:val="24"/>
          <w:lang w:val="en-US"/>
        </w:rPr>
        <w:t>.</w:t>
      </w:r>
    </w:p>
    <w:p w14:paraId="60AE96FD" w14:textId="77777777" w:rsidR="001D7571" w:rsidRPr="001D7571" w:rsidRDefault="001D7571" w:rsidP="00CA5C03">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3FCAA4A2" w14:textId="3EFCEA86" w:rsidR="001D7571" w:rsidRPr="001D7571" w:rsidRDefault="001D7571" w:rsidP="00CE4CA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CE4CA5">
        <w:rPr>
          <w:rFonts w:eastAsia="Times New Roman" w:cs="Times New Roman"/>
          <w:noProof/>
          <w:szCs w:val="24"/>
          <w:lang w:val="en-US"/>
        </w:rPr>
        <w:t xml:space="preserve">Nwuba. C.C., Kalu. I.U., &amp; Umeh. J.A. (2015). Determinants of homeownership affordability in Nigeria's urban housing market. </w:t>
      </w:r>
      <w:r w:rsidRPr="00CE4CA5">
        <w:rPr>
          <w:rFonts w:eastAsia="Times New Roman" w:cs="Times New Roman"/>
          <w:i/>
          <w:noProof/>
          <w:szCs w:val="24"/>
          <w:lang w:val="en-US"/>
        </w:rPr>
        <w:t>International Journal of Housing Markets and Analysis</w:t>
      </w:r>
      <w:r w:rsidRPr="00CE4CA5">
        <w:rPr>
          <w:rFonts w:eastAsia="Times New Roman" w:cs="Times New Roman"/>
          <w:noProof/>
          <w:szCs w:val="24"/>
          <w:lang w:val="en-US"/>
        </w:rPr>
        <w:t xml:space="preserve">. </w:t>
      </w:r>
      <w:hyperlink r:id="rId34" w:history="1">
        <w:r w:rsidRPr="00CE4CA5">
          <w:rPr>
            <w:rStyle w:val="Hyperlink"/>
            <w:rFonts w:eastAsia="Times New Roman" w:cs="Times New Roman"/>
            <w:noProof/>
            <w:color w:val="auto"/>
            <w:szCs w:val="24"/>
            <w:u w:val="none"/>
            <w:lang w:val="en-US"/>
          </w:rPr>
          <w:t>http://doi.org/10.1108/09574090910954864</w:t>
        </w:r>
      </w:hyperlink>
    </w:p>
    <w:p w14:paraId="68223D6A" w14:textId="77777777" w:rsidR="001D7571" w:rsidRPr="00CE4CA5" w:rsidRDefault="001D7571" w:rsidP="00CE4CA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5C1AB6CA" w14:textId="33FAA341" w:rsidR="001D7571" w:rsidRPr="001D7571" w:rsidRDefault="001D7571" w:rsidP="00285BF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bookmarkStart w:id="3" w:name="_Hlk496436548"/>
      <w:r w:rsidRPr="001D7571">
        <w:rPr>
          <w:rFonts w:eastAsia="Times New Roman" w:cs="Times New Roman"/>
          <w:noProof/>
          <w:szCs w:val="24"/>
          <w:lang w:val="en-US"/>
        </w:rPr>
        <w:t>Real Estate Housing Developers Association (REHDA)</w:t>
      </w:r>
      <w:r w:rsidRPr="00285BF2">
        <w:rPr>
          <w:rFonts w:eastAsia="Times New Roman" w:cs="Times New Roman"/>
          <w:noProof/>
          <w:szCs w:val="24"/>
          <w:lang w:val="en-US"/>
        </w:rPr>
        <w:t xml:space="preserve">. (2015). </w:t>
      </w:r>
      <w:r w:rsidRPr="001D7571">
        <w:rPr>
          <w:rFonts w:eastAsia="Times New Roman" w:cs="Times New Roman"/>
          <w:noProof/>
          <w:szCs w:val="24"/>
          <w:lang w:val="en-US"/>
        </w:rPr>
        <w:t xml:space="preserve">Retrieved from </w:t>
      </w:r>
      <w:hyperlink r:id="rId35" w:history="1">
        <w:r w:rsidRPr="001D7571">
          <w:rPr>
            <w:rStyle w:val="Hyperlink"/>
            <w:rFonts w:eastAsia="Times New Roman" w:cs="Times New Roman"/>
            <w:noProof/>
            <w:color w:val="auto"/>
            <w:szCs w:val="24"/>
            <w:u w:val="none"/>
            <w:lang w:val="en-US"/>
          </w:rPr>
          <w:t>http://www.rehdaselangor.com</w:t>
        </w:r>
      </w:hyperlink>
    </w:p>
    <w:p w14:paraId="19E9B0B6" w14:textId="77777777" w:rsidR="001D7571" w:rsidRPr="00285BF2" w:rsidRDefault="001D7571" w:rsidP="00285BF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bookmarkEnd w:id="3"/>
    <w:p w14:paraId="07E3385B" w14:textId="3155D2A6" w:rsid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57118">
        <w:rPr>
          <w:rFonts w:eastAsia="Times New Roman" w:cs="Times New Roman"/>
          <w:noProof/>
          <w:szCs w:val="24"/>
          <w:lang w:val="en-US"/>
        </w:rPr>
        <w:t xml:space="preserve">Reed, R. R., &amp; Ume, E. S. (2016). Housing and unemployment: The search for the “American Dream.” </w:t>
      </w:r>
      <w:r w:rsidRPr="00D57118">
        <w:rPr>
          <w:rFonts w:eastAsia="Times New Roman" w:cs="Times New Roman"/>
          <w:i/>
          <w:iCs/>
          <w:noProof/>
          <w:szCs w:val="24"/>
          <w:lang w:val="en-US"/>
        </w:rPr>
        <w:t>Journal of Macroeconomics</w:t>
      </w:r>
      <w:r w:rsidRPr="00D57118">
        <w:rPr>
          <w:rFonts w:eastAsia="Times New Roman" w:cs="Times New Roman"/>
          <w:noProof/>
          <w:szCs w:val="24"/>
          <w:lang w:val="en-US"/>
        </w:rPr>
        <w:t xml:space="preserve">, </w:t>
      </w:r>
      <w:r w:rsidRPr="00D57118">
        <w:rPr>
          <w:rFonts w:eastAsia="Times New Roman" w:cs="Times New Roman"/>
          <w:i/>
          <w:iCs/>
          <w:noProof/>
          <w:szCs w:val="24"/>
          <w:lang w:val="en-US"/>
        </w:rPr>
        <w:t>48</w:t>
      </w:r>
      <w:r w:rsidRPr="00D57118">
        <w:rPr>
          <w:rFonts w:eastAsia="Times New Roman" w:cs="Times New Roman"/>
          <w:noProof/>
          <w:szCs w:val="24"/>
          <w:lang w:val="en-US"/>
        </w:rPr>
        <w:t xml:space="preserve">, 72–86. </w:t>
      </w:r>
      <w:hyperlink r:id="rId36" w:history="1">
        <w:r w:rsidRPr="00D57118">
          <w:rPr>
            <w:rStyle w:val="Hyperlink"/>
            <w:rFonts w:eastAsia="Times New Roman" w:cs="Times New Roman"/>
            <w:noProof/>
            <w:color w:val="auto"/>
            <w:szCs w:val="24"/>
            <w:u w:val="none"/>
            <w:lang w:val="en-US"/>
          </w:rPr>
          <w:t>http://doi.org/10.1016/j.jmacro.2016.01.001</w:t>
        </w:r>
      </w:hyperlink>
    </w:p>
    <w:p w14:paraId="447F0292" w14:textId="77777777" w:rsidR="001D7571" w:rsidRPr="001D7571" w:rsidRDefault="001D7571" w:rsidP="00D57118">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32F5ADC9" w14:textId="579273D4" w:rsidR="001D7571" w:rsidRDefault="001D7571" w:rsidP="008060D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8060DE">
        <w:rPr>
          <w:rFonts w:eastAsia="Times New Roman" w:cs="Times New Roman"/>
          <w:noProof/>
          <w:szCs w:val="24"/>
          <w:lang w:val="en-US"/>
        </w:rPr>
        <w:t xml:space="preserve">Ronald, R., &amp; Doling, J. (2010). Shifting East Asian Approaches to Home Ownership and the Housing Welfare Pillar. </w:t>
      </w:r>
      <w:r w:rsidRPr="008060DE">
        <w:rPr>
          <w:rFonts w:eastAsia="Times New Roman" w:cs="Times New Roman"/>
          <w:i/>
          <w:iCs/>
          <w:noProof/>
          <w:szCs w:val="24"/>
          <w:lang w:val="en-US"/>
        </w:rPr>
        <w:t>International Journal of Housing Policy</w:t>
      </w:r>
      <w:r w:rsidRPr="008060DE">
        <w:rPr>
          <w:rFonts w:eastAsia="Times New Roman" w:cs="Times New Roman"/>
          <w:noProof/>
          <w:szCs w:val="24"/>
          <w:lang w:val="en-US"/>
        </w:rPr>
        <w:t xml:space="preserve">, </w:t>
      </w:r>
      <w:r w:rsidRPr="008060DE">
        <w:rPr>
          <w:rFonts w:eastAsia="Times New Roman" w:cs="Times New Roman"/>
          <w:i/>
          <w:iCs/>
          <w:noProof/>
          <w:szCs w:val="24"/>
          <w:lang w:val="en-US"/>
        </w:rPr>
        <w:t>10</w:t>
      </w:r>
      <w:r w:rsidRPr="008060DE">
        <w:rPr>
          <w:rFonts w:eastAsia="Times New Roman" w:cs="Times New Roman"/>
          <w:noProof/>
          <w:szCs w:val="24"/>
          <w:lang w:val="en-US"/>
        </w:rPr>
        <w:t xml:space="preserve">(3), 233–254. </w:t>
      </w:r>
      <w:hyperlink r:id="rId37" w:history="1">
        <w:r w:rsidRPr="008060DE">
          <w:rPr>
            <w:rFonts w:eastAsia="Times New Roman" w:cs="Times New Roman"/>
            <w:noProof/>
            <w:szCs w:val="24"/>
            <w:lang w:val="en-US"/>
          </w:rPr>
          <w:t>http://doi.org/10.1080/14616718.2010.506740</w:t>
        </w:r>
      </w:hyperlink>
    </w:p>
    <w:p w14:paraId="28726F39" w14:textId="77777777" w:rsidR="001D7571" w:rsidRPr="008060DE" w:rsidRDefault="001D7571" w:rsidP="008060D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1618D0BD" w14:textId="7F123D2D" w:rsidR="001D7571" w:rsidRDefault="001D7571" w:rsidP="00650861">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650861">
        <w:rPr>
          <w:rFonts w:eastAsia="Times New Roman" w:cs="Times New Roman"/>
          <w:noProof/>
          <w:szCs w:val="24"/>
          <w:lang w:val="en-US"/>
        </w:rPr>
        <w:t xml:space="preserve">Rugg, J. (2010). </w:t>
      </w:r>
      <w:r w:rsidRPr="00650861">
        <w:rPr>
          <w:rFonts w:eastAsia="Times New Roman" w:cs="Times New Roman"/>
          <w:i/>
          <w:iCs/>
          <w:noProof/>
          <w:szCs w:val="24"/>
          <w:lang w:val="en-US"/>
        </w:rPr>
        <w:t>Young people and housing : The Need For A New Policy Agenda</w:t>
      </w:r>
      <w:r w:rsidRPr="00650861">
        <w:rPr>
          <w:rFonts w:eastAsia="Times New Roman" w:cs="Times New Roman"/>
          <w:noProof/>
          <w:szCs w:val="24"/>
          <w:lang w:val="en-US"/>
        </w:rPr>
        <w:t xml:space="preserve">. Retrieved from </w:t>
      </w:r>
      <w:hyperlink r:id="rId38" w:history="1">
        <w:r w:rsidRPr="00650861">
          <w:rPr>
            <w:rStyle w:val="Hyperlink"/>
            <w:rFonts w:eastAsia="Times New Roman" w:cs="Times New Roman"/>
            <w:noProof/>
            <w:color w:val="auto"/>
            <w:szCs w:val="24"/>
            <w:u w:val="none"/>
            <w:lang w:val="en-US"/>
          </w:rPr>
          <w:t>http://www.jrf.org.uk</w:t>
        </w:r>
      </w:hyperlink>
    </w:p>
    <w:p w14:paraId="79C1EA3F" w14:textId="1F445951" w:rsidR="00305B87" w:rsidRDefault="00305B87" w:rsidP="00650861">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30F6EBE" w14:textId="77777777" w:rsidR="00305B87" w:rsidRPr="00305B87" w:rsidRDefault="00305B87" w:rsidP="00305B87">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GB"/>
        </w:rPr>
      </w:pPr>
      <w:r w:rsidRPr="00305B87">
        <w:rPr>
          <w:rFonts w:eastAsia="Times New Roman" w:cs="Times New Roman"/>
          <w:noProof/>
          <w:szCs w:val="24"/>
          <w:lang w:val="en-GB"/>
        </w:rPr>
        <w:t xml:space="preserve">Sander, G. F; Packard, T., Purnamasari, R.S., Testaverde, M., Wacker, K.M.,Yap, W. A., Yoong, P. S. (2014). Towards a Middle-Class Society. </w:t>
      </w:r>
      <w:r w:rsidRPr="00305B87">
        <w:rPr>
          <w:rFonts w:eastAsia="Times New Roman" w:cs="Times New Roman"/>
          <w:i/>
          <w:iCs/>
          <w:noProof/>
          <w:szCs w:val="24"/>
          <w:lang w:val="en-GB"/>
        </w:rPr>
        <w:t>Malaysia Economic Monitor</w:t>
      </w:r>
      <w:r w:rsidRPr="00305B87">
        <w:rPr>
          <w:rFonts w:eastAsia="Times New Roman" w:cs="Times New Roman"/>
          <w:noProof/>
          <w:szCs w:val="24"/>
          <w:lang w:val="en-GB"/>
        </w:rPr>
        <w:t>: Washington, DC ; World Bank Group. Retrieved from http://www.worldbank.org/</w:t>
      </w:r>
    </w:p>
    <w:p w14:paraId="2A9FE928" w14:textId="77777777" w:rsidR="001D7571" w:rsidRPr="001D7571" w:rsidRDefault="001D7571" w:rsidP="00305B87">
      <w:pPr>
        <w:widowControl w:val="0"/>
        <w:autoSpaceDE w:val="0"/>
        <w:autoSpaceDN w:val="0"/>
        <w:adjustRightInd w:val="0"/>
        <w:spacing w:beforeLines="240" w:before="576" w:afterLines="240" w:after="576" w:line="240" w:lineRule="auto"/>
        <w:contextualSpacing/>
        <w:rPr>
          <w:rFonts w:eastAsia="Times New Roman" w:cs="Times New Roman"/>
          <w:noProof/>
          <w:szCs w:val="24"/>
          <w:lang w:val="en-US"/>
        </w:rPr>
      </w:pPr>
    </w:p>
    <w:p w14:paraId="510C9888" w14:textId="53C07A39" w:rsidR="001D7571" w:rsidRDefault="001D7571" w:rsidP="00A83AE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57118">
        <w:rPr>
          <w:rFonts w:eastAsia="Times New Roman" w:cs="Times New Roman"/>
          <w:noProof/>
          <w:szCs w:val="24"/>
          <w:lang w:val="en-US"/>
        </w:rPr>
        <w:t xml:space="preserve">Shi, W., Chen, J., &amp; Wang, H. (2015). Affordable housing policy in China: New developments and new challenges. </w:t>
      </w:r>
      <w:r w:rsidRPr="00D57118">
        <w:rPr>
          <w:rFonts w:eastAsia="Times New Roman" w:cs="Times New Roman"/>
          <w:i/>
          <w:iCs/>
          <w:noProof/>
          <w:szCs w:val="24"/>
          <w:lang w:val="en-US"/>
        </w:rPr>
        <w:t>Habitat International</w:t>
      </w:r>
      <w:r w:rsidRPr="00D57118">
        <w:rPr>
          <w:rFonts w:eastAsia="Times New Roman" w:cs="Times New Roman"/>
          <w:noProof/>
          <w:szCs w:val="24"/>
          <w:lang w:val="en-US"/>
        </w:rPr>
        <w:t xml:space="preserve">, </w:t>
      </w:r>
      <w:r w:rsidRPr="00D57118">
        <w:rPr>
          <w:rFonts w:eastAsia="Times New Roman" w:cs="Times New Roman"/>
          <w:i/>
          <w:iCs/>
          <w:noProof/>
          <w:szCs w:val="24"/>
          <w:lang w:val="en-US"/>
        </w:rPr>
        <w:t>54</w:t>
      </w:r>
      <w:r w:rsidRPr="00D57118">
        <w:rPr>
          <w:rFonts w:eastAsia="Times New Roman" w:cs="Times New Roman"/>
          <w:noProof/>
          <w:szCs w:val="24"/>
          <w:lang w:val="en-US"/>
        </w:rPr>
        <w:t xml:space="preserve">, 224–233. </w:t>
      </w:r>
      <w:hyperlink r:id="rId39" w:history="1">
        <w:r w:rsidRPr="00D57118">
          <w:rPr>
            <w:rStyle w:val="Hyperlink"/>
            <w:rFonts w:eastAsia="Times New Roman" w:cs="Times New Roman"/>
            <w:noProof/>
            <w:color w:val="auto"/>
            <w:szCs w:val="24"/>
            <w:u w:val="none"/>
            <w:lang w:val="en-US"/>
          </w:rPr>
          <w:t>http://doi.org/10.1016/j.habitatint.2015.11.020</w:t>
        </w:r>
      </w:hyperlink>
    </w:p>
    <w:p w14:paraId="1A1DBC9E" w14:textId="77777777" w:rsidR="001D7571" w:rsidRPr="001D7571" w:rsidRDefault="001D7571" w:rsidP="00A83AE5">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6B448A3F" w14:textId="01D9C00F" w:rsidR="001D7571" w:rsidRDefault="001D7571" w:rsidP="00286A02">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86A02">
        <w:rPr>
          <w:rFonts w:eastAsia="Times New Roman" w:cs="Times New Roman"/>
          <w:noProof/>
          <w:szCs w:val="24"/>
          <w:lang w:val="en-US"/>
        </w:rPr>
        <w:t xml:space="preserve">Tan Teck Hong. (2012). Housing satisfaction in medium- and high-cost housing: The case of Greater Kuala Lumpur, Malaysia. </w:t>
      </w:r>
      <w:r w:rsidRPr="00286A02">
        <w:rPr>
          <w:rFonts w:eastAsia="Times New Roman" w:cs="Times New Roman"/>
          <w:i/>
          <w:iCs/>
          <w:noProof/>
          <w:szCs w:val="24"/>
          <w:lang w:val="en-US"/>
        </w:rPr>
        <w:t>Habitat International</w:t>
      </w:r>
      <w:r w:rsidRPr="00286A02">
        <w:rPr>
          <w:rFonts w:eastAsia="Times New Roman" w:cs="Times New Roman"/>
          <w:noProof/>
          <w:szCs w:val="24"/>
          <w:lang w:val="en-US"/>
        </w:rPr>
        <w:t xml:space="preserve">, </w:t>
      </w:r>
      <w:r w:rsidRPr="00286A02">
        <w:rPr>
          <w:rFonts w:eastAsia="Times New Roman" w:cs="Times New Roman"/>
          <w:i/>
          <w:iCs/>
          <w:noProof/>
          <w:szCs w:val="24"/>
          <w:lang w:val="en-US"/>
        </w:rPr>
        <w:t>36</w:t>
      </w:r>
      <w:r w:rsidRPr="00286A02">
        <w:rPr>
          <w:rFonts w:eastAsia="Times New Roman" w:cs="Times New Roman"/>
          <w:noProof/>
          <w:szCs w:val="24"/>
          <w:lang w:val="en-US"/>
        </w:rPr>
        <w:t xml:space="preserve">(1), 108–116. </w:t>
      </w:r>
      <w:hyperlink r:id="rId40" w:history="1">
        <w:r w:rsidRPr="00286A02">
          <w:rPr>
            <w:rStyle w:val="Hyperlink"/>
            <w:rFonts w:eastAsia="Times New Roman" w:cs="Times New Roman"/>
            <w:noProof/>
            <w:color w:val="auto"/>
            <w:szCs w:val="24"/>
            <w:u w:val="none"/>
            <w:lang w:val="en-US"/>
          </w:rPr>
          <w:t>http://doi.org/10.1016/j.habitatint.2011.06.003</w:t>
        </w:r>
      </w:hyperlink>
    </w:p>
    <w:p w14:paraId="376CE6E3" w14:textId="77777777" w:rsidR="001D7571" w:rsidRPr="001D7571" w:rsidRDefault="001D7571" w:rsidP="00305B87">
      <w:pPr>
        <w:widowControl w:val="0"/>
        <w:autoSpaceDE w:val="0"/>
        <w:autoSpaceDN w:val="0"/>
        <w:adjustRightInd w:val="0"/>
        <w:spacing w:beforeLines="240" w:before="576" w:afterLines="240" w:after="576" w:line="240" w:lineRule="auto"/>
        <w:contextualSpacing/>
        <w:rPr>
          <w:rFonts w:eastAsia="Times New Roman" w:cs="Times New Roman"/>
          <w:noProof/>
          <w:szCs w:val="24"/>
          <w:lang w:val="en-US"/>
        </w:rPr>
      </w:pPr>
    </w:p>
    <w:p w14:paraId="0D1A88DA" w14:textId="77777777" w:rsidR="001D7571" w:rsidRPr="001D7571" w:rsidRDefault="001D7571" w:rsidP="00790147">
      <w:pPr>
        <w:widowControl w:val="0"/>
        <w:autoSpaceDE w:val="0"/>
        <w:autoSpaceDN w:val="0"/>
        <w:adjustRightInd w:val="0"/>
        <w:spacing w:beforeLines="240" w:before="576" w:afterLines="240" w:after="576" w:line="240" w:lineRule="auto"/>
        <w:ind w:left="720" w:hanging="720"/>
        <w:rPr>
          <w:rFonts w:eastAsia="Times New Roman" w:cs="Times New Roman"/>
          <w:noProof/>
          <w:szCs w:val="24"/>
          <w:lang w:val="en-US"/>
        </w:rPr>
      </w:pPr>
      <w:bookmarkStart w:id="4" w:name="_Hlk8037464"/>
      <w:r w:rsidRPr="001D7571">
        <w:rPr>
          <w:rFonts w:eastAsia="Times New Roman" w:cs="Times New Roman"/>
          <w:noProof/>
          <w:szCs w:val="24"/>
          <w:lang w:val="en-US"/>
        </w:rPr>
        <w:t>United Nation Development Programme. (2018). Sustainable Development Goals (SDGs). Retrieved from http://www.un.org/sustainabledevelopmentgoals</w:t>
      </w:r>
    </w:p>
    <w:p w14:paraId="4E00C1F3" w14:textId="683C83FD" w:rsidR="001D7571"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D2629E">
        <w:rPr>
          <w:rFonts w:eastAsia="Times New Roman" w:cs="Times New Roman"/>
          <w:noProof/>
          <w:szCs w:val="24"/>
          <w:lang w:val="en-US"/>
        </w:rPr>
        <w:t xml:space="preserve">Visser, K., Bolt, G., &amp; van Kempen, R. (2013). Urban Restructuring and Forced Relocations: Housing Opportunities for Youth? A Case Study in Utrecht, the Netherlands. </w:t>
      </w:r>
      <w:r w:rsidRPr="00D2629E">
        <w:rPr>
          <w:rFonts w:eastAsia="Times New Roman" w:cs="Times New Roman"/>
          <w:i/>
          <w:iCs/>
          <w:noProof/>
          <w:szCs w:val="24"/>
          <w:lang w:val="en-US"/>
        </w:rPr>
        <w:t>Housing Studies</w:t>
      </w:r>
      <w:r w:rsidRPr="00D2629E">
        <w:rPr>
          <w:rFonts w:eastAsia="Times New Roman" w:cs="Times New Roman"/>
          <w:noProof/>
          <w:szCs w:val="24"/>
          <w:lang w:val="en-US"/>
        </w:rPr>
        <w:t xml:space="preserve">, </w:t>
      </w:r>
      <w:r w:rsidRPr="00D2629E">
        <w:rPr>
          <w:rFonts w:eastAsia="Times New Roman" w:cs="Times New Roman"/>
          <w:i/>
          <w:iCs/>
          <w:noProof/>
          <w:szCs w:val="24"/>
          <w:lang w:val="en-US"/>
        </w:rPr>
        <w:t>28</w:t>
      </w:r>
      <w:r w:rsidRPr="00D2629E">
        <w:rPr>
          <w:rFonts w:eastAsia="Times New Roman" w:cs="Times New Roman"/>
          <w:noProof/>
          <w:szCs w:val="24"/>
          <w:lang w:val="en-US"/>
        </w:rPr>
        <w:t xml:space="preserve">(2), 294–316. </w:t>
      </w:r>
      <w:hyperlink r:id="rId41" w:history="1">
        <w:r w:rsidRPr="00D2629E">
          <w:rPr>
            <w:rStyle w:val="Hyperlink"/>
            <w:rFonts w:eastAsia="Times New Roman" w:cs="Times New Roman"/>
            <w:noProof/>
            <w:color w:val="auto"/>
            <w:szCs w:val="24"/>
            <w:u w:val="none"/>
            <w:lang w:val="en-US"/>
          </w:rPr>
          <w:t>http://doi.org/10.1080/02673037.2013.767881</w:t>
        </w:r>
      </w:hyperlink>
    </w:p>
    <w:p w14:paraId="74A0677C" w14:textId="48AEF370" w:rsidR="0046349B" w:rsidRDefault="0046349B"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7ABDDF09" w14:textId="49F4F9B0" w:rsidR="0046349B" w:rsidRPr="0046349B" w:rsidRDefault="0046349B"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Pr>
          <w:rFonts w:eastAsia="Times New Roman" w:cs="Times New Roman"/>
          <w:noProof/>
          <w:szCs w:val="24"/>
          <w:lang w:val="en-US"/>
        </w:rPr>
        <w:t xml:space="preserve">Woetzel, J.; Ram, S., Micschke, J., Garemo, N. &amp; Sankhe, S. (2014). Tackling the world’s </w:t>
      </w:r>
      <w:r>
        <w:rPr>
          <w:rFonts w:eastAsia="Times New Roman" w:cs="Times New Roman"/>
          <w:noProof/>
          <w:szCs w:val="24"/>
          <w:lang w:val="en-US"/>
        </w:rPr>
        <w:lastRenderedPageBreak/>
        <w:t xml:space="preserve">affordable housing challenge. Retrieved </w:t>
      </w:r>
      <w:r w:rsidRPr="0046349B">
        <w:rPr>
          <w:rFonts w:eastAsia="Times New Roman" w:cs="Times New Roman"/>
          <w:noProof/>
          <w:szCs w:val="24"/>
          <w:lang w:val="en-US"/>
        </w:rPr>
        <w:t xml:space="preserve">from </w:t>
      </w:r>
      <w:hyperlink r:id="rId42" w:history="1">
        <w:r w:rsidRPr="0046349B">
          <w:rPr>
            <w:rStyle w:val="Hyperlink"/>
            <w:rFonts w:eastAsia="Times New Roman" w:cs="Times New Roman"/>
            <w:noProof/>
            <w:color w:val="auto"/>
            <w:szCs w:val="24"/>
            <w:u w:val="none"/>
            <w:lang w:val="en-US"/>
          </w:rPr>
          <w:t>http://www.mckinsey.com/featured</w:t>
        </w:r>
      </w:hyperlink>
      <w:r w:rsidRPr="0046349B">
        <w:rPr>
          <w:rFonts w:eastAsia="Times New Roman" w:cs="Times New Roman"/>
          <w:noProof/>
          <w:szCs w:val="24"/>
          <w:lang w:val="en-US"/>
        </w:rPr>
        <w:t xml:space="preserve"> sights</w:t>
      </w:r>
    </w:p>
    <w:p w14:paraId="73C964DC" w14:textId="77777777" w:rsidR="001D7571" w:rsidRPr="001D7571" w:rsidRDefault="001D7571" w:rsidP="00D2629E">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bookmarkEnd w:id="4"/>
    <w:p w14:paraId="0E1D6E4F" w14:textId="3A2EF36B" w:rsidR="001D7571" w:rsidRDefault="001D7571" w:rsidP="00CA5C03">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CA5C03">
        <w:rPr>
          <w:rFonts w:eastAsia="Times New Roman" w:cs="Times New Roman"/>
          <w:noProof/>
          <w:szCs w:val="24"/>
          <w:lang w:val="en-US"/>
        </w:rPr>
        <w:t xml:space="preserve">Wilcox, S. (2003). </w:t>
      </w:r>
      <w:r w:rsidRPr="00CA5C03">
        <w:rPr>
          <w:rFonts w:eastAsia="Times New Roman" w:cs="Times New Roman"/>
          <w:i/>
          <w:iCs/>
          <w:noProof/>
          <w:szCs w:val="24"/>
          <w:lang w:val="en-US"/>
        </w:rPr>
        <w:t>Can work – can’t buy</w:t>
      </w:r>
      <w:r w:rsidRPr="00CA5C03">
        <w:rPr>
          <w:rFonts w:eastAsia="Times New Roman" w:cs="Times New Roman"/>
          <w:noProof/>
          <w:szCs w:val="24"/>
          <w:lang w:val="en-US"/>
        </w:rPr>
        <w:t>: Local Measures of The Ability of Working Households to Become Home Owners. Retrieved from http:www.jrf.org.uk</w:t>
      </w:r>
    </w:p>
    <w:p w14:paraId="363D28A9" w14:textId="77777777" w:rsidR="001D7571" w:rsidRPr="001D7571" w:rsidRDefault="001D7571" w:rsidP="00CA5C03">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p>
    <w:p w14:paraId="1A1D76D0" w14:textId="77777777" w:rsidR="001D7571" w:rsidRPr="001D7571" w:rsidRDefault="001D7571" w:rsidP="00CA48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54576D">
        <w:rPr>
          <w:rFonts w:eastAsia="Times New Roman" w:cs="Times New Roman"/>
          <w:noProof/>
          <w:szCs w:val="24"/>
          <w:lang w:val="en-US"/>
        </w:rPr>
        <w:t xml:space="preserve">Zhu, Y. (2013). Youth Housing Problems in China. In Forest. R &amp; Yip, N.M. Editor (Eds.), </w:t>
      </w:r>
      <w:r w:rsidRPr="0054576D">
        <w:rPr>
          <w:rFonts w:eastAsia="Times New Roman" w:cs="Times New Roman"/>
          <w:i/>
          <w:noProof/>
          <w:szCs w:val="24"/>
          <w:lang w:val="en-US"/>
        </w:rPr>
        <w:t>Young People and Housing: Transitions, Trajectories and General Fractures</w:t>
      </w:r>
      <w:r w:rsidRPr="0054576D">
        <w:rPr>
          <w:rFonts w:eastAsia="Times New Roman" w:cs="Times New Roman"/>
          <w:noProof/>
          <w:szCs w:val="24"/>
          <w:lang w:val="en-US"/>
        </w:rPr>
        <w:t xml:space="preserve">. (pp. 141-158). </w:t>
      </w:r>
    </w:p>
    <w:p w14:paraId="7763C02F" w14:textId="77777777" w:rsidR="001D7571" w:rsidRPr="001D7571" w:rsidRDefault="001D7571" w:rsidP="00CA48FF">
      <w:pPr>
        <w:widowControl w:val="0"/>
        <w:autoSpaceDE w:val="0"/>
        <w:autoSpaceDN w:val="0"/>
        <w:adjustRightInd w:val="0"/>
        <w:spacing w:beforeLines="240" w:before="576" w:afterLines="240" w:after="576" w:line="240" w:lineRule="auto"/>
        <w:ind w:left="720" w:hanging="720"/>
        <w:contextualSpacing/>
        <w:rPr>
          <w:rFonts w:eastAsia="Times New Roman" w:cs="Times New Roman"/>
          <w:noProof/>
          <w:szCs w:val="24"/>
          <w:lang w:val="en-US"/>
        </w:rPr>
      </w:pPr>
      <w:r w:rsidRPr="002A37D2">
        <w:rPr>
          <w:rFonts w:eastAsia="Times New Roman" w:cs="Times New Roman"/>
          <w:noProof/>
          <w:szCs w:val="24"/>
          <w:lang w:val="en-US"/>
        </w:rPr>
        <w:t xml:space="preserve">Zyed, Z.A.S.,Wan Nor Azriyati W.A.A., Noor Rosly, H., &amp; Peter, A.T. (2014). Affordable housing schemes : Overcoming Homeownership Problems Among Younger Working Household (pp. 20–22). </w:t>
      </w:r>
      <w:r w:rsidRPr="002A37D2">
        <w:rPr>
          <w:rFonts w:eastAsia="Times New Roman" w:cs="Times New Roman"/>
          <w:i/>
          <w:noProof/>
          <w:szCs w:val="24"/>
          <w:lang w:val="en-US"/>
        </w:rPr>
        <w:t>Open House International</w:t>
      </w:r>
      <w:r w:rsidRPr="002A37D2">
        <w:rPr>
          <w:rFonts w:eastAsia="Times New Roman" w:cs="Times New Roman"/>
          <w:noProof/>
          <w:szCs w:val="24"/>
          <w:lang w:val="en-US"/>
        </w:rPr>
        <w:t>; Dec 2014, Vol. 39 Issue 4, p5-13, 9p.</w:t>
      </w:r>
    </w:p>
    <w:sectPr w:rsidR="001D7571" w:rsidRPr="001D7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935A0"/>
    <w:multiLevelType w:val="hybridMultilevel"/>
    <w:tmpl w:val="FA8C76F8"/>
    <w:lvl w:ilvl="0" w:tplc="E514F6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6F"/>
    <w:rsid w:val="00004E8E"/>
    <w:rsid w:val="00017078"/>
    <w:rsid w:val="0002345B"/>
    <w:rsid w:val="00033A48"/>
    <w:rsid w:val="00036811"/>
    <w:rsid w:val="00050373"/>
    <w:rsid w:val="00052FB8"/>
    <w:rsid w:val="00055AA3"/>
    <w:rsid w:val="00056970"/>
    <w:rsid w:val="0007606D"/>
    <w:rsid w:val="00083862"/>
    <w:rsid w:val="0008391F"/>
    <w:rsid w:val="00091B1A"/>
    <w:rsid w:val="000920C6"/>
    <w:rsid w:val="00096E24"/>
    <w:rsid w:val="000A2F32"/>
    <w:rsid w:val="000A7EC2"/>
    <w:rsid w:val="000B5E4F"/>
    <w:rsid w:val="000C0B11"/>
    <w:rsid w:val="000D0B9C"/>
    <w:rsid w:val="000D42DB"/>
    <w:rsid w:val="000D6111"/>
    <w:rsid w:val="000E464B"/>
    <w:rsid w:val="000F06A2"/>
    <w:rsid w:val="001024E7"/>
    <w:rsid w:val="00137239"/>
    <w:rsid w:val="00140F3D"/>
    <w:rsid w:val="001559E4"/>
    <w:rsid w:val="00155A59"/>
    <w:rsid w:val="0015646C"/>
    <w:rsid w:val="001729DE"/>
    <w:rsid w:val="00174F96"/>
    <w:rsid w:val="00175DCC"/>
    <w:rsid w:val="00195D86"/>
    <w:rsid w:val="001A7B9A"/>
    <w:rsid w:val="001D2B2E"/>
    <w:rsid w:val="001D60FD"/>
    <w:rsid w:val="001D7571"/>
    <w:rsid w:val="001E6678"/>
    <w:rsid w:val="0020128D"/>
    <w:rsid w:val="002074E7"/>
    <w:rsid w:val="002119DE"/>
    <w:rsid w:val="002176F0"/>
    <w:rsid w:val="00224164"/>
    <w:rsid w:val="002251AC"/>
    <w:rsid w:val="002464E5"/>
    <w:rsid w:val="002528DC"/>
    <w:rsid w:val="00252BE9"/>
    <w:rsid w:val="00253923"/>
    <w:rsid w:val="00267634"/>
    <w:rsid w:val="002802AD"/>
    <w:rsid w:val="00285BF2"/>
    <w:rsid w:val="00286A02"/>
    <w:rsid w:val="00287386"/>
    <w:rsid w:val="002908F4"/>
    <w:rsid w:val="00290E7D"/>
    <w:rsid w:val="002A0E59"/>
    <w:rsid w:val="002A37D2"/>
    <w:rsid w:val="002A6A40"/>
    <w:rsid w:val="002C2735"/>
    <w:rsid w:val="002D568D"/>
    <w:rsid w:val="002E21B6"/>
    <w:rsid w:val="002E657D"/>
    <w:rsid w:val="002F62E1"/>
    <w:rsid w:val="00305B87"/>
    <w:rsid w:val="0033472B"/>
    <w:rsid w:val="003418C1"/>
    <w:rsid w:val="0036313F"/>
    <w:rsid w:val="00370A72"/>
    <w:rsid w:val="00373DB7"/>
    <w:rsid w:val="0037479A"/>
    <w:rsid w:val="00376900"/>
    <w:rsid w:val="00394D4A"/>
    <w:rsid w:val="003C7A67"/>
    <w:rsid w:val="003E4D89"/>
    <w:rsid w:val="003E6491"/>
    <w:rsid w:val="004027AB"/>
    <w:rsid w:val="0041289E"/>
    <w:rsid w:val="004226FF"/>
    <w:rsid w:val="004318F0"/>
    <w:rsid w:val="00441039"/>
    <w:rsid w:val="0044437F"/>
    <w:rsid w:val="0045323A"/>
    <w:rsid w:val="0046349B"/>
    <w:rsid w:val="00472D71"/>
    <w:rsid w:val="0048074F"/>
    <w:rsid w:val="00483C08"/>
    <w:rsid w:val="00487B1F"/>
    <w:rsid w:val="004A10A1"/>
    <w:rsid w:val="004B5535"/>
    <w:rsid w:val="004C199B"/>
    <w:rsid w:val="004C7D75"/>
    <w:rsid w:val="004D5FCB"/>
    <w:rsid w:val="004D6677"/>
    <w:rsid w:val="004E63A5"/>
    <w:rsid w:val="004F15DD"/>
    <w:rsid w:val="005042B9"/>
    <w:rsid w:val="00517F74"/>
    <w:rsid w:val="00521BCA"/>
    <w:rsid w:val="00524D7F"/>
    <w:rsid w:val="00543814"/>
    <w:rsid w:val="0054576D"/>
    <w:rsid w:val="005511B4"/>
    <w:rsid w:val="005558E2"/>
    <w:rsid w:val="00566855"/>
    <w:rsid w:val="00566A12"/>
    <w:rsid w:val="00590DF1"/>
    <w:rsid w:val="005931BE"/>
    <w:rsid w:val="005A2510"/>
    <w:rsid w:val="005A305D"/>
    <w:rsid w:val="005A6BEF"/>
    <w:rsid w:val="005B1F7C"/>
    <w:rsid w:val="005C15FF"/>
    <w:rsid w:val="005F6CF3"/>
    <w:rsid w:val="00602340"/>
    <w:rsid w:val="0061579B"/>
    <w:rsid w:val="0063672C"/>
    <w:rsid w:val="0064479F"/>
    <w:rsid w:val="00650861"/>
    <w:rsid w:val="00661103"/>
    <w:rsid w:val="00680AF4"/>
    <w:rsid w:val="00684C08"/>
    <w:rsid w:val="00686CF9"/>
    <w:rsid w:val="00691AB0"/>
    <w:rsid w:val="006A3CE6"/>
    <w:rsid w:val="006B2CAF"/>
    <w:rsid w:val="006B653C"/>
    <w:rsid w:val="006D317B"/>
    <w:rsid w:val="006D65FE"/>
    <w:rsid w:val="006E0BCF"/>
    <w:rsid w:val="006E67D1"/>
    <w:rsid w:val="006F21F1"/>
    <w:rsid w:val="006F5235"/>
    <w:rsid w:val="0070719C"/>
    <w:rsid w:val="007152F9"/>
    <w:rsid w:val="007214D0"/>
    <w:rsid w:val="0073080F"/>
    <w:rsid w:val="00742691"/>
    <w:rsid w:val="00745F2B"/>
    <w:rsid w:val="007512BA"/>
    <w:rsid w:val="007615E7"/>
    <w:rsid w:val="00761A51"/>
    <w:rsid w:val="00770ACF"/>
    <w:rsid w:val="007828C7"/>
    <w:rsid w:val="00784A06"/>
    <w:rsid w:val="00790147"/>
    <w:rsid w:val="007B008F"/>
    <w:rsid w:val="007B2D54"/>
    <w:rsid w:val="007C534D"/>
    <w:rsid w:val="007E0BCC"/>
    <w:rsid w:val="008022B0"/>
    <w:rsid w:val="008043A2"/>
    <w:rsid w:val="008060DE"/>
    <w:rsid w:val="00811369"/>
    <w:rsid w:val="00817123"/>
    <w:rsid w:val="0082505D"/>
    <w:rsid w:val="00837D3C"/>
    <w:rsid w:val="00855E4A"/>
    <w:rsid w:val="00865C9B"/>
    <w:rsid w:val="0088008E"/>
    <w:rsid w:val="00886FF0"/>
    <w:rsid w:val="0089241B"/>
    <w:rsid w:val="008A10DB"/>
    <w:rsid w:val="008B192A"/>
    <w:rsid w:val="008C47EE"/>
    <w:rsid w:val="008C7DCC"/>
    <w:rsid w:val="008E6FC3"/>
    <w:rsid w:val="00914E87"/>
    <w:rsid w:val="009214CA"/>
    <w:rsid w:val="009237D9"/>
    <w:rsid w:val="00923FC3"/>
    <w:rsid w:val="00961366"/>
    <w:rsid w:val="00964DD7"/>
    <w:rsid w:val="009911E6"/>
    <w:rsid w:val="009A4CD6"/>
    <w:rsid w:val="009A4EB8"/>
    <w:rsid w:val="009B19F4"/>
    <w:rsid w:val="009B5A78"/>
    <w:rsid w:val="009C1191"/>
    <w:rsid w:val="009C3AF6"/>
    <w:rsid w:val="009D46D3"/>
    <w:rsid w:val="009E67D0"/>
    <w:rsid w:val="00A226BE"/>
    <w:rsid w:val="00A278B9"/>
    <w:rsid w:val="00A30E92"/>
    <w:rsid w:val="00A35799"/>
    <w:rsid w:val="00A44728"/>
    <w:rsid w:val="00A52CE0"/>
    <w:rsid w:val="00A83AE5"/>
    <w:rsid w:val="00A86D73"/>
    <w:rsid w:val="00A92C3A"/>
    <w:rsid w:val="00A9384E"/>
    <w:rsid w:val="00A9650A"/>
    <w:rsid w:val="00AA17BD"/>
    <w:rsid w:val="00AA226A"/>
    <w:rsid w:val="00AA56AB"/>
    <w:rsid w:val="00AB0C55"/>
    <w:rsid w:val="00AC33C5"/>
    <w:rsid w:val="00AD13C8"/>
    <w:rsid w:val="00AD2C53"/>
    <w:rsid w:val="00AE0407"/>
    <w:rsid w:val="00AE0ECA"/>
    <w:rsid w:val="00AE129B"/>
    <w:rsid w:val="00B20D35"/>
    <w:rsid w:val="00B23FB1"/>
    <w:rsid w:val="00B31193"/>
    <w:rsid w:val="00B52F01"/>
    <w:rsid w:val="00B56017"/>
    <w:rsid w:val="00B57670"/>
    <w:rsid w:val="00B60446"/>
    <w:rsid w:val="00B64D8B"/>
    <w:rsid w:val="00B6543F"/>
    <w:rsid w:val="00B74898"/>
    <w:rsid w:val="00B8136F"/>
    <w:rsid w:val="00B842AD"/>
    <w:rsid w:val="00B92D12"/>
    <w:rsid w:val="00B94E80"/>
    <w:rsid w:val="00B97908"/>
    <w:rsid w:val="00BA2E10"/>
    <w:rsid w:val="00BA704C"/>
    <w:rsid w:val="00BB49F0"/>
    <w:rsid w:val="00BC694A"/>
    <w:rsid w:val="00BD6A9B"/>
    <w:rsid w:val="00BE28C1"/>
    <w:rsid w:val="00BE540F"/>
    <w:rsid w:val="00BF68F4"/>
    <w:rsid w:val="00C0463C"/>
    <w:rsid w:val="00C25891"/>
    <w:rsid w:val="00C3672C"/>
    <w:rsid w:val="00C435D9"/>
    <w:rsid w:val="00C509F7"/>
    <w:rsid w:val="00C71DD9"/>
    <w:rsid w:val="00C81A25"/>
    <w:rsid w:val="00CA48FF"/>
    <w:rsid w:val="00CA5C03"/>
    <w:rsid w:val="00CC1486"/>
    <w:rsid w:val="00CC3E07"/>
    <w:rsid w:val="00CC6D69"/>
    <w:rsid w:val="00CD4055"/>
    <w:rsid w:val="00CE4CA5"/>
    <w:rsid w:val="00CF6548"/>
    <w:rsid w:val="00D055DD"/>
    <w:rsid w:val="00D22DE5"/>
    <w:rsid w:val="00D23CED"/>
    <w:rsid w:val="00D2629E"/>
    <w:rsid w:val="00D31ABC"/>
    <w:rsid w:val="00D407E7"/>
    <w:rsid w:val="00D505C2"/>
    <w:rsid w:val="00D55FB5"/>
    <w:rsid w:val="00D57118"/>
    <w:rsid w:val="00D650ED"/>
    <w:rsid w:val="00D7225D"/>
    <w:rsid w:val="00D95633"/>
    <w:rsid w:val="00DA204C"/>
    <w:rsid w:val="00DD65E7"/>
    <w:rsid w:val="00DE7BD4"/>
    <w:rsid w:val="00DF22A7"/>
    <w:rsid w:val="00E0051F"/>
    <w:rsid w:val="00E1252C"/>
    <w:rsid w:val="00E13672"/>
    <w:rsid w:val="00E17FE9"/>
    <w:rsid w:val="00E3050C"/>
    <w:rsid w:val="00E371EF"/>
    <w:rsid w:val="00E509F7"/>
    <w:rsid w:val="00E62982"/>
    <w:rsid w:val="00E8635F"/>
    <w:rsid w:val="00E96545"/>
    <w:rsid w:val="00EA26E3"/>
    <w:rsid w:val="00EB4BDD"/>
    <w:rsid w:val="00EB6506"/>
    <w:rsid w:val="00EC212C"/>
    <w:rsid w:val="00EE1E4E"/>
    <w:rsid w:val="00F01F48"/>
    <w:rsid w:val="00F20D52"/>
    <w:rsid w:val="00F26D7F"/>
    <w:rsid w:val="00F36871"/>
    <w:rsid w:val="00F36C8A"/>
    <w:rsid w:val="00F47287"/>
    <w:rsid w:val="00F51556"/>
    <w:rsid w:val="00F54BFD"/>
    <w:rsid w:val="00F55F85"/>
    <w:rsid w:val="00F6360E"/>
    <w:rsid w:val="00F72BF9"/>
    <w:rsid w:val="00F75FF3"/>
    <w:rsid w:val="00F800BE"/>
    <w:rsid w:val="00F83548"/>
    <w:rsid w:val="00F902B2"/>
    <w:rsid w:val="00F92EF5"/>
    <w:rsid w:val="00FC76F5"/>
    <w:rsid w:val="00FD2CDB"/>
    <w:rsid w:val="00FD66E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479A"/>
  <w15:chartTrackingRefBased/>
  <w15:docId w15:val="{2BAB8CAB-9B44-4C1A-8E48-E767ACF0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23"/>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2119DE"/>
    <w:pPr>
      <w:keepNext/>
      <w:keepLines/>
      <w:spacing w:before="240" w:after="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87386"/>
    <w:pPr>
      <w:keepNext/>
      <w:keepLines/>
      <w:spacing w:before="40" w:after="0"/>
      <w:outlineLvl w:val="1"/>
    </w:pPr>
    <w:rPr>
      <w:rFonts w:eastAsiaTheme="majorEastAsia" w:cstheme="majorBidi"/>
      <w:b/>
      <w:caps/>
      <w:szCs w:val="26"/>
    </w:rPr>
  </w:style>
  <w:style w:type="paragraph" w:styleId="Heading3">
    <w:name w:val="heading 3"/>
    <w:basedOn w:val="Normal"/>
    <w:next w:val="Normal"/>
    <w:link w:val="Heading3Char"/>
    <w:uiPriority w:val="9"/>
    <w:unhideWhenUsed/>
    <w:qFormat/>
    <w:rsid w:val="00F20D52"/>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9D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87386"/>
    <w:rPr>
      <w:rFonts w:ascii="Times New Roman" w:eastAsiaTheme="majorEastAsia" w:hAnsi="Times New Roman" w:cstheme="majorBidi"/>
      <w:b/>
      <w:caps/>
      <w:sz w:val="24"/>
      <w:szCs w:val="26"/>
    </w:rPr>
  </w:style>
  <w:style w:type="paragraph" w:styleId="ListParagraph">
    <w:name w:val="List Paragraph"/>
    <w:basedOn w:val="Normal"/>
    <w:uiPriority w:val="34"/>
    <w:qFormat/>
    <w:rsid w:val="00B97908"/>
    <w:pPr>
      <w:spacing w:before="240" w:after="240" w:line="480" w:lineRule="auto"/>
      <w:ind w:left="720"/>
      <w:contextualSpacing/>
    </w:pPr>
    <w:rPr>
      <w:lang w:val="en-GB"/>
    </w:rPr>
  </w:style>
  <w:style w:type="table" w:customStyle="1" w:styleId="TableGrid601">
    <w:name w:val="Table Grid601"/>
    <w:basedOn w:val="TableNormal"/>
    <w:next w:val="TableGrid"/>
    <w:uiPriority w:val="59"/>
    <w:rsid w:val="00D22D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2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D0B9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802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802AD"/>
    <w:pPr>
      <w:spacing w:after="200" w:line="240" w:lineRule="auto"/>
      <w:contextualSpacing/>
    </w:pPr>
    <w:rPr>
      <w:i/>
      <w:iCs/>
      <w:color w:val="44546A" w:themeColor="text2"/>
      <w:sz w:val="18"/>
      <w:szCs w:val="18"/>
      <w:lang w:val="en-GB"/>
    </w:rPr>
  </w:style>
  <w:style w:type="character" w:styleId="Hyperlink">
    <w:name w:val="Hyperlink"/>
    <w:basedOn w:val="DefaultParagraphFont"/>
    <w:uiPriority w:val="99"/>
    <w:unhideWhenUsed/>
    <w:rsid w:val="00B842AD"/>
    <w:rPr>
      <w:color w:val="0563C1" w:themeColor="hyperlink"/>
      <w:u w:val="single"/>
    </w:rPr>
  </w:style>
  <w:style w:type="character" w:customStyle="1" w:styleId="Heading3Char">
    <w:name w:val="Heading 3 Char"/>
    <w:basedOn w:val="DefaultParagraphFont"/>
    <w:link w:val="Heading3"/>
    <w:uiPriority w:val="9"/>
    <w:rsid w:val="00F20D52"/>
    <w:rPr>
      <w:rFonts w:ascii="Times New Roman" w:eastAsiaTheme="majorEastAsia" w:hAnsi="Times New Roman" w:cstheme="majorBidi"/>
      <w:i/>
      <w:sz w:val="24"/>
      <w:szCs w:val="24"/>
    </w:rPr>
  </w:style>
  <w:style w:type="character" w:styleId="UnresolvedMention">
    <w:name w:val="Unresolved Mention"/>
    <w:basedOn w:val="DefaultParagraphFont"/>
    <w:uiPriority w:val="99"/>
    <w:semiHidden/>
    <w:unhideWhenUsed/>
    <w:rsid w:val="00923FC3"/>
    <w:rPr>
      <w:color w:val="605E5C"/>
      <w:shd w:val="clear" w:color="auto" w:fill="E1DFDD"/>
    </w:rPr>
  </w:style>
  <w:style w:type="character" w:styleId="CommentReference">
    <w:name w:val="annotation reference"/>
    <w:basedOn w:val="DefaultParagraphFont"/>
    <w:uiPriority w:val="99"/>
    <w:semiHidden/>
    <w:unhideWhenUsed/>
    <w:rsid w:val="004A10A1"/>
    <w:rPr>
      <w:sz w:val="16"/>
      <w:szCs w:val="16"/>
    </w:rPr>
  </w:style>
  <w:style w:type="paragraph" w:styleId="CommentText">
    <w:name w:val="annotation text"/>
    <w:basedOn w:val="Normal"/>
    <w:link w:val="CommentTextChar"/>
    <w:uiPriority w:val="99"/>
    <w:semiHidden/>
    <w:unhideWhenUsed/>
    <w:rsid w:val="004A10A1"/>
    <w:pPr>
      <w:spacing w:line="240" w:lineRule="auto"/>
    </w:pPr>
    <w:rPr>
      <w:sz w:val="20"/>
      <w:szCs w:val="20"/>
    </w:rPr>
  </w:style>
  <w:style w:type="character" w:customStyle="1" w:styleId="CommentTextChar">
    <w:name w:val="Comment Text Char"/>
    <w:basedOn w:val="DefaultParagraphFont"/>
    <w:link w:val="CommentText"/>
    <w:uiPriority w:val="99"/>
    <w:semiHidden/>
    <w:rsid w:val="004A10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10A1"/>
    <w:rPr>
      <w:b/>
      <w:bCs/>
    </w:rPr>
  </w:style>
  <w:style w:type="character" w:customStyle="1" w:styleId="CommentSubjectChar">
    <w:name w:val="Comment Subject Char"/>
    <w:basedOn w:val="CommentTextChar"/>
    <w:link w:val="CommentSubject"/>
    <w:uiPriority w:val="99"/>
    <w:semiHidden/>
    <w:rsid w:val="004A10A1"/>
    <w:rPr>
      <w:rFonts w:ascii="Times New Roman" w:hAnsi="Times New Roman"/>
      <w:b/>
      <w:bCs/>
      <w:sz w:val="20"/>
      <w:szCs w:val="20"/>
    </w:rPr>
  </w:style>
  <w:style w:type="paragraph" w:styleId="BalloonText">
    <w:name w:val="Balloon Text"/>
    <w:basedOn w:val="Normal"/>
    <w:link w:val="BalloonTextChar"/>
    <w:uiPriority w:val="99"/>
    <w:semiHidden/>
    <w:unhideWhenUsed/>
    <w:rsid w:val="004A10A1"/>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4A10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nhr2013.com/p/housing-affordability.html" TargetMode="External"/><Relationship Id="rId13" Type="http://schemas.openxmlformats.org/officeDocument/2006/relationships/hyperlink" Target="http://doi.org/10.1080/14036096.2012.728151" TargetMode="External"/><Relationship Id="rId18" Type="http://schemas.openxmlformats.org/officeDocument/2006/relationships/hyperlink" Target="http://www.epu.gov.my" TargetMode="External"/><Relationship Id="rId26" Type="http://schemas.openxmlformats.org/officeDocument/2006/relationships/hyperlink" Target="http://doi.org/10.1002/psp.1961" TargetMode="External"/><Relationship Id="rId39" Type="http://schemas.openxmlformats.org/officeDocument/2006/relationships/hyperlink" Target="http://doi.org/10.1016/j.habitatint.2015.11.020" TargetMode="External"/><Relationship Id="rId3" Type="http://schemas.openxmlformats.org/officeDocument/2006/relationships/styles" Target="styles.xml"/><Relationship Id="rId21" Type="http://schemas.openxmlformats.org/officeDocument/2006/relationships/hyperlink" Target="http://doi.org/10.1080/14036096.2016.1143025" TargetMode="External"/><Relationship Id="rId34" Type="http://schemas.openxmlformats.org/officeDocument/2006/relationships/hyperlink" Target="http://doi.org/10.1108/09574090910954864" TargetMode="External"/><Relationship Id="rId42" Type="http://schemas.openxmlformats.org/officeDocument/2006/relationships/hyperlink" Target="http://www.mckinsey.com/featured" TargetMode="External"/><Relationship Id="rId7" Type="http://schemas.openxmlformats.org/officeDocument/2006/relationships/hyperlink" Target="http://doi.org/10.1057/9781403919809" TargetMode="External"/><Relationship Id="rId12" Type="http://schemas.openxmlformats.org/officeDocument/2006/relationships/hyperlink" Target="http://doi.org/10.7763/IJSSH.2016.V6.686" TargetMode="External"/><Relationship Id="rId17" Type="http://schemas.openxmlformats.org/officeDocument/2006/relationships/hyperlink" Target="https://www.dosm.gov.my/v1/" TargetMode="External"/><Relationship Id="rId25" Type="http://schemas.openxmlformats.org/officeDocument/2006/relationships/hyperlink" Target="http://doi.org/10.1080/14036096.2012.683292" TargetMode="External"/><Relationship Id="rId33" Type="http://schemas.openxmlformats.org/officeDocument/2006/relationships/hyperlink" Target="http://www.ikim.gov.my/index.php/en/utusan-malaysia/9024-impian-atau-realiti-golongan-muda-memiliki-rumah" TargetMode="External"/><Relationship Id="rId38" Type="http://schemas.openxmlformats.org/officeDocument/2006/relationships/hyperlink" Target="http://www.jrf.org.uk" TargetMode="External"/><Relationship Id="rId2" Type="http://schemas.openxmlformats.org/officeDocument/2006/relationships/numbering" Target="numbering.xml"/><Relationship Id="rId16" Type="http://schemas.openxmlformats.org/officeDocument/2006/relationships/hyperlink" Target="http://doi.org/10.1080/14616718.2015.1135857" TargetMode="External"/><Relationship Id="rId20" Type="http://schemas.openxmlformats.org/officeDocument/2006/relationships/hyperlink" Target="http://hub.hku.hk/handle/10722/207637" TargetMode="External"/><Relationship Id="rId29" Type="http://schemas.openxmlformats.org/officeDocument/2006/relationships/hyperlink" Target="http://doi.org/10.1177/110330881102000102" TargetMode="External"/><Relationship Id="rId41" Type="http://schemas.openxmlformats.org/officeDocument/2006/relationships/hyperlink" Target="http://doi.org/10.1080/02673037.2013.767881" TargetMode="External"/><Relationship Id="rId1" Type="http://schemas.openxmlformats.org/officeDocument/2006/relationships/customXml" Target="../customXml/item1.xml"/><Relationship Id="rId6" Type="http://schemas.openxmlformats.org/officeDocument/2006/relationships/hyperlink" Target="mailto:mahazril@ns.uitm.edu.my" TargetMode="External"/><Relationship Id="rId11" Type="http://schemas.openxmlformats.org/officeDocument/2006/relationships/hyperlink" Target="http://bnm.gov.my" TargetMode="External"/><Relationship Id="rId24" Type="http://schemas.openxmlformats.org/officeDocument/2006/relationships/hyperlink" Target="http://doi.org/10.1080/13676261.2016.1184241" TargetMode="External"/><Relationship Id="rId32" Type="http://schemas.openxmlformats.org/officeDocument/2006/relationships/hyperlink" Target="http://napic.jpph.gov.my/portal/main" TargetMode="External"/><Relationship Id="rId37" Type="http://schemas.openxmlformats.org/officeDocument/2006/relationships/hyperlink" Target="http://doi.org/10.1080/14616718.2010.506740" TargetMode="External"/><Relationship Id="rId40" Type="http://schemas.openxmlformats.org/officeDocument/2006/relationships/hyperlink" Target="http://doi.org/10.1016/j.habitatint.2011.06.003" TargetMode="External"/><Relationship Id="rId5" Type="http://schemas.openxmlformats.org/officeDocument/2006/relationships/webSettings" Target="webSettings.xml"/><Relationship Id="rId15" Type="http://schemas.openxmlformats.org/officeDocument/2006/relationships/hyperlink" Target="http://doi.org/10.1068/a3315" TargetMode="External"/><Relationship Id="rId23" Type="http://schemas.openxmlformats.org/officeDocument/2006/relationships/hyperlink" Target="http://doi.org/10.1080/13676261.2016.1184241" TargetMode="External"/><Relationship Id="rId28" Type="http://schemas.openxmlformats.org/officeDocument/2006/relationships/hyperlink" Target="http://www.bnm.gov.my" TargetMode="External"/><Relationship Id="rId36" Type="http://schemas.openxmlformats.org/officeDocument/2006/relationships/hyperlink" Target="http://doi.org/10.1016/j.jmacro.2016.01.001" TargetMode="External"/><Relationship Id="rId10" Type="http://schemas.openxmlformats.org/officeDocument/2006/relationships/hyperlink" Target="http://www.aif.org.my/aif/assets" TargetMode="External"/><Relationship Id="rId19" Type="http://schemas.openxmlformats.org/officeDocument/2006/relationships/hyperlink" Target="http://doi.org/10.1080/14616718.2015.1130606" TargetMode="External"/><Relationship Id="rId31" Type="http://schemas.openxmlformats.org/officeDocument/2006/relationships/hyperlink" Target="http://napic.jpph.gov.my/portal/ma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i.org/10.1007/s10901-017-9551-8" TargetMode="External"/><Relationship Id="rId14" Type="http://schemas.openxmlformats.org/officeDocument/2006/relationships/hyperlink" Target="http://doi.org/10.1080/14616718.2015.1130605" TargetMode="External"/><Relationship Id="rId22" Type="http://schemas.openxmlformats.org/officeDocument/2006/relationships/hyperlink" Target="http://doi.org/10.1080/14036096.2016.1143025" TargetMode="External"/><Relationship Id="rId27" Type="http://schemas.openxmlformats.org/officeDocument/2006/relationships/hyperlink" Target="http://doi.org/10.1080/14445921.2015.1026195" TargetMode="External"/><Relationship Id="rId30" Type="http://schemas.openxmlformats.org/officeDocument/2006/relationships/hyperlink" Target="http://www.nhd.gov.my" TargetMode="External"/><Relationship Id="rId35" Type="http://schemas.openxmlformats.org/officeDocument/2006/relationships/hyperlink" Target="http://www.rehdaselangor.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C2F1-633D-480D-AAB9-EF444B51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13441</Words>
  <Characters>76614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2019-05-06T03:42:00Z</cp:lastPrinted>
  <dcterms:created xsi:type="dcterms:W3CDTF">2019-07-18T09:09:00Z</dcterms:created>
  <dcterms:modified xsi:type="dcterms:W3CDTF">2019-07-18T09:12:00Z</dcterms:modified>
</cp:coreProperties>
</file>